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Ruben B. Pacheco Jr.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Guardian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Ad-021 Central Buyagan, Poblacion,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Pacheco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PHASE II, BITO, BAGONG, SABLAN,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