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D. BELINGON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MSMV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Tomay, Bahong,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BELINGON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POLICE COMPAC  TOURISM INFORMATION AND ASSISTANCE CENTER AT TADIANGAN,  NANGALISAN,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