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Pacita T. Bag-ayan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Rekeam Construction and Supply</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Ampusongan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Bag-ayan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MUNICIPAL MULTI-PURPOSE BUILDING WITH STAGE AT AMPUSONGAN,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