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26,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THOMAS PALILENG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SEPJR CONSTRUCTION and SUPPLIES TRADING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MA 151 Puguis La Trinidad Benguet/ Cot-cot, Bangao,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PALILENG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BEEY - ATA FMR, BANGAO,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