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MICHAEL S. BAGINGAO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TWO M Construction &amp;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Loo, Buguias Benguet / 5th FLOOR PINESHILL BUILDING 2, KM 5 ,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BAGINGAO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LANAS-PAN-AYAOAN FMR, LOO,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