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Ryan Melchor B. Tello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Rybate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Bangao Ambuclao Bokod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Tello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CONSTRUCTION/INSTALLATION OF HANDRAIL ALONG THE CRITICAL SECTIONS OF THE ALOO-ELI PATHWAY, BANGAO, AMBUCLAO,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