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March 02,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Fermin D. Balangcod</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Balangcod Construction and Aggregates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Gambang, Cuba, Kapangan, Benguet/ Toyong Pico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Balangcod</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WASTE STORAGE FACILITY, KAPANGAN, KDH, KAPANGAN, BENGUET</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