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Ruben L. Aguinse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Akiki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Duacan,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Aguinse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CHAMPEG-BESANG PACSO ROAD, PACSO,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Latest Income and Business Tax Returns;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Provincial Permit;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Printed Copy of the Invitation to Bid @ PhilGEPS;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