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January 26, 2022</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JULIUS D. ELIO</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Proprietor/</w:t>
      </w:r>
      <w:r w:rsidR="000D299B" w:rsidRPr="00C82819">
        <w:rPr>
          <w:rFonts w:ascii="Arial Narrow" w:hAnsi="Arial Narrow" w:cs="Arial"/>
          <w:sz w:val="24"/>
          <w:szCs w:val="24"/>
        </w:rPr>
        <w:t>REMNANT ENGINEERING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Km 12 Shilan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ELIO</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BENGUET PROVINCIAL JAIL KITCHEN WITH DINING HALL (ADDITIONAL AMOUNT)</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