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JOSEPH S. GALAO-EY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ANAPEN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GALAO-EY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POTPOTAK TO BECA FMR, SEBANG,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