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GYM, TADIANGAN,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