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Pacita T. Bag-ayan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Rekeam Construction and Supply</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Ampusongan Bakun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Bag-ayan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projects</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A.) INSTALLATION OF IRON GRILLS AT KABUNIAN BURIAL COFFINS, BAKUN B.) INSTALLATION OF HAND RAILINGS GOING TO MT. KABUNIAN, BAKUN (ADDITIONAL) C.) CONSTRUCTION OF DIVERSION CANAL AT OBO-O - NAMET-A, POBLACION, BAKUN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