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SHERWIN F. ELIAS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SHERFELIAS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108 4/F  Norlu 0 Cedec Building 2 Bokawkan Road, Cresencia Village,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ELIAS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CONCRETING OF BARANGAY ROAD, CAMANGGAAN TO BALAKBAK, TIKEY,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