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OBANGA BALINTAG-DECKAN FMR ( ILI SECTION), BACULONGAN SUR, BUGUIAS AND IMPROVEMENT OF OBANGA BALINTAG-DECKAN FMR  (PANEGDIGON SECTION), BACULONGAN SUR,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