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January 04,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James Palangdan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Manger/</w:t>
      </w:r>
      <w:r w:rsidR="00125530" w:rsidRPr="007D7BB4">
        <w:rPr>
          <w:rFonts w:ascii="Arial" w:hAnsi="Arial" w:cs="Arial"/>
          <w:sz w:val="26"/>
          <w:szCs w:val="26"/>
        </w:rPr>
        <w:t>Boyet Builders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Unknown Address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Palangdan: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FENCING AND IMPROVEMENT OF PUBLIC COMFORT ROOM AT ACOP , CAPONGA, TUBLAY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Eb Titiwa Gen. Engineering And Construction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3rd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01-19-2021a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January 19,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