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April 13,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MARK M. POLO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Proprietor/</w:t>
      </w:r>
      <w:r w:rsidR="00125530" w:rsidRPr="007D7BB4">
        <w:rPr>
          <w:rFonts w:ascii="Arial" w:hAnsi="Arial" w:cs="Arial"/>
          <w:sz w:val="26"/>
          <w:szCs w:val="26"/>
        </w:rPr>
        <w:t>POLO ENGINEERING &amp;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Shilan, La Trinidad,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POLO: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CONSTRUCTION OF GYMNASIUM AT NALSEB ELEMENTARY SCHOOL, AMBASSADOR, TUBLAY, BENGUET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bid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NORBANO BUILDERS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2nd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LCRB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04-13-2021b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April 13,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