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06,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MARCIAL S. MANMAN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TIMBERLANDS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DB 036 MAE BAHONG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MANMAN: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PUGO FMR, BACULONGAN NORTE, BUGUIAS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JYP General Constructionn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04-06-2021a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06,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