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May 04,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Jerico A. Palangdan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Ico Construction Services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Tuding, Itogon,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Palangdan: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A.) CONSTRUCTION OF CANAL ALONG PROVINCIAL ROAD (INFRONT OF MR. SIBAYAN TO FIRST GATE CHECKPOINT), VIRAC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bid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Gacoscos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LCRB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05-04-2021c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May 04,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