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   A. CONSTRUCTION OF A TEMPORARY TREATMENT FACILITY (TTMF)   B. REPAIR AND IMPROVEMENT OF NORTHERN BENGUET DISTRICT HOSPITAL (NBDH)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A.Php10,000,000.00 B.Php3,500,000.00 = Php13,500,000.00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- 2 Failed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09, 2021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16, 2021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2021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ISOLATION FACILITY OF NORTHERN BENGUET DISTRICT HOSPITAL  (NBDH) AT ABATAN,BENGUET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Php15,000,000.00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- 2 Failed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09, 2021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16, 2021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2021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NEW KAPANGAN DISTRICT HOSPITAL (KDH) BUILDING (PHASE 1) LOCATED AT CENTRAL,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Php10,000,000.00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- 2 Failed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09, 2021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June 16, 2021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June 2021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FERDINAND P. CATORES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