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对前臂皮肤两点阈的测量：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应用直线内插</w:t>
      </w:r>
      <w:bookmarkStart w:id="1" w:name="_GoBack"/>
      <w:bookmarkEnd w:id="1"/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法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福建师范大学心理学院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俞德霖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摘  要：</w:t>
      </w:r>
      <w:r>
        <w:rPr>
          <w:rFonts w:hint="eastAsia" w:ascii="Times New Roman" w:hAnsi="Times New Roman" w:eastAsia="宋体" w:cs="Times New Roman"/>
        </w:rPr>
        <w:t>基于费希纳提出的恒定刺激法，对1名男大学生进行了前臂皮肤两点阈的测量。共选取5个恒定刺激，范围为4mm~16mm，刺激间距3mm。应用直线内插法的比例算式计算得皮肤两点阈的绝对阈限为6mm。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关键词：</w:t>
      </w:r>
      <w:r>
        <w:rPr>
          <w:rFonts w:hint="eastAsia" w:ascii="Times New Roman" w:hAnsi="Times New Roman" w:eastAsia="宋体" w:cs="Times New Roman"/>
        </w:rPr>
        <w:t>皮肤两点阈；恒定刺激法；心理物理学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1 引言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恒定刺激法（The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method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of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Constant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Stimuli）是由费希纳</w:t>
      </w:r>
      <w:bookmarkStart w:id="0" w:name="_Hlk21900220"/>
      <w:r>
        <w:rPr>
          <w:rFonts w:hint="eastAsia" w:ascii="Times New Roman" w:hAnsi="Times New Roman" w:eastAsia="宋体" w:cs="Times New Roman"/>
          <w:sz w:val="24"/>
          <w:szCs w:val="24"/>
        </w:rPr>
        <w:t>（G.</w:t>
      </w:r>
      <w:r>
        <w:rPr>
          <w:rFonts w:ascii="Times New Roman" w:hAnsi="Times New Roman" w:eastAsia="宋体" w:cs="Times New Roman"/>
          <w:sz w:val="24"/>
          <w:szCs w:val="24"/>
        </w:rPr>
        <w:t>T.Fechner,1860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提出的测量感觉阈限的三种方法之一，是测量绝对感觉阈限、差别阈限和其他一些心理量的主要方法之一。采用该方法测定感受性时，一般只使用少数几个刺激，并且在测定过程中是恒定不变的。用恒定刺激法测定感觉阈限时，刺激的呈现是随机的，每呈现一个刺激只要求被试答“有”和“无”，并依照对不同刺激回答的次数计算阈限值，因此，恒定刺激法又叫次数法（frequency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method）。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两点阈是同时刺激皮肤上的两点时，被试刚刚能分出其为两点时的最小距离。它是肤觉定位的一种方式，也是皮肤空间的绝对阈限。身体各部分的两点阈是不同的，活动较多的部分两点阈较低，如大学生手指尖的两点阈为1-3毫米，手心的两点阈则为8-12毫米。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本实验将沿用恒定刺激法对前臂皮肤进行两点阈的测量。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2 方法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2.1 被试</w:t>
      </w:r>
    </w:p>
    <w:p>
      <w:pPr>
        <w:spacing w:line="360" w:lineRule="auto"/>
        <w:ind w:firstLine="564" w:firstLineChars="2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福建师范大学在校学生1名，男性。年龄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9岁，右利手，矫正视力正常，此前</w:t>
      </w:r>
      <w:r>
        <w:rPr>
          <w:rFonts w:ascii="Times New Roman" w:hAnsi="Times New Roman" w:eastAsia="宋体" w:cs="Times New Roman"/>
          <w:sz w:val="24"/>
          <w:szCs w:val="24"/>
        </w:rPr>
        <w:t>未参与过类似实验</w:t>
      </w:r>
      <w:r>
        <w:rPr>
          <w:rFonts w:hint="eastAsia" w:ascii="Times New Roman" w:hAnsi="Times New Roman" w:eastAsia="宋体" w:cs="Times New Roman"/>
          <w:sz w:val="24"/>
          <w:szCs w:val="24"/>
        </w:rPr>
        <w:t>，受测手为右手。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2.2 仪器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两点阈测试仪：游标卡尺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2.3 程序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最小变化法粗略测定手臂两点阈的范围：递增、递减系列各测试5次，找出既不是100%地判断为两点，也不是100%地判断为一点的大致范围。在这个范围内选出间隔相等的5个刺激：最大的刺激约为95%（不低于90%）次被判断为两点，最小的刺激约为5%（不</w:t>
      </w: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超过</w:t>
      </w:r>
      <w:r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10%）次被判断为两点。后按随机原则排出一个呈现刺激的顺序，5个刺激各测试30次，共150次。</w:t>
      </w:r>
    </w:p>
    <w:p>
      <w:pPr>
        <w:spacing w:line="360" w:lineRule="auto"/>
        <w:ind w:firstLine="420"/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每呈现一个刺激后，被试如感觉到两点就报告两点，若感觉到的是一点就报告一点，分别记录为+、-</w:t>
      </w: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每测25 次休息2 分钟。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3 结果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用恒定刺激法测两点阈的结果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统计被试报告“两点”的次数，并计算报告的比例。统计结果见表1。</w:t>
      </w:r>
    </w:p>
    <w:tbl>
      <w:tblPr>
        <w:tblStyle w:val="4"/>
        <w:tblW w:w="71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1"/>
        <w:gridCol w:w="629"/>
        <w:gridCol w:w="861"/>
        <w:gridCol w:w="629"/>
        <w:gridCol w:w="861"/>
        <w:gridCol w:w="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100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表1 用恒定刺激法测两点阈的结果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刺激/mm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回答“两点”的次数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回答“两点”的比例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0.4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依据统计结果制作s-p图并计算两点阈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基于统计结果制作的s-p图见图1。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object>
          <v:shape id="_x0000_i1025" o:spt="75" type="#_x0000_t75" style="height:229.75pt;width:240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rism8.Document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firstLine="56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应用直线内插法比例算式对两点阈的绝对阈限进行计算，设绝对阈限为X。</w:t>
      </w:r>
    </w:p>
    <w:p>
      <w:pPr>
        <w:spacing w:line="360" w:lineRule="auto"/>
        <w:ind w:firstLine="560"/>
        <w:jc w:val="center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（7-4）/（55-40）=（X-4）/（50-40）</w:t>
      </w:r>
    </w:p>
    <w:p>
      <w:pPr>
        <w:spacing w:line="360" w:lineRule="auto"/>
        <w:ind w:firstLine="560"/>
        <w:jc w:val="center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X=6mm</w:t>
      </w:r>
    </w:p>
    <w:p>
      <w:pPr>
        <w:spacing w:line="360" w:lineRule="auto"/>
        <w:ind w:firstLine="560"/>
        <w:jc w:val="center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4 讨论</w:t>
      </w:r>
    </w:p>
    <w:p>
      <w:pPr>
        <w:spacing w:line="360" w:lineRule="auto"/>
        <w:ind w:firstLine="54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本次测量的结果为6mm，低于常模，可能说明受测者皮肤较为敏感。</w:t>
      </w:r>
    </w:p>
    <w:p>
      <w:pPr>
        <w:spacing w:line="360" w:lineRule="auto"/>
        <w:ind w:firstLine="54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直线内插法的优点是简单易算，但它不够精确，因为参与计算绝对阈限的知识邻近0.5比例的两个比例，其余比例也是实验结果但都废弃不用。在后续的研究中，可以考虑将原始数据转化为Z分数，利用最小二乘法进行更好的拟合，得到更精确的结果。</w:t>
      </w:r>
    </w:p>
    <w:p>
      <w:pPr>
        <w:spacing w:line="360" w:lineRule="auto"/>
        <w:ind w:firstLine="54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本次实验使用游标卡尺测量，从工具层面上说比较方便，然而在操作上却难以保证严谨，下扎的力度和引起皮肤的形变程度的不同，都可能影响实验结果，又或是每次下扎落点的不同。从神经解剖学的角度来说，靠近骨组织的要敏感一些，因而更容易分辨，本次实验过程中也发现了这一想象。</w:t>
      </w:r>
    </w:p>
    <w:p>
      <w:pPr>
        <w:spacing w:line="360" w:lineRule="auto"/>
        <w:ind w:firstLine="54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在后续的两点阈研究，应当改进实验设备和实验方法，控制仪器和实验人员带来的误差。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5 结论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基于恒定刺激法，应用直线内插法的比例算式计算得前臂皮肤两点阈的绝对阈限为6mm。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6 参考文献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郭秀艳，杨治良.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实验心理学</w:t>
      </w:r>
      <w:r>
        <w:rPr>
          <w:rFonts w:ascii="Times New Roman" w:hAnsi="Times New Roman" w:eastAsia="宋体" w:cs="Times New Roman"/>
          <w:sz w:val="24"/>
          <w:szCs w:val="24"/>
        </w:rPr>
        <w:t>[M].北京:</w:t>
      </w:r>
      <w:r>
        <w:rPr>
          <w:rFonts w:hint="eastAsia" w:ascii="Times New Roman" w:hAnsi="Times New Roman" w:eastAsia="宋体" w:cs="Times New Roman"/>
          <w:sz w:val="24"/>
          <w:szCs w:val="24"/>
        </w:rPr>
        <w:t>人民教育</w:t>
      </w:r>
      <w:r>
        <w:rPr>
          <w:rFonts w:ascii="Times New Roman" w:hAnsi="Times New Roman" w:eastAsia="宋体" w:cs="Times New Roman"/>
          <w:sz w:val="24"/>
          <w:szCs w:val="24"/>
        </w:rPr>
        <w:t>出版社,2004.</w:t>
      </w:r>
      <w:r>
        <w:rPr>
          <w:rFonts w:ascii="宋体" w:hAnsi="Arial" w:eastAsia="宋体" w:cs="宋体"/>
          <w:spacing w:val="5"/>
          <w:szCs w:val="21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238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240</w:t>
      </w:r>
      <w:r>
        <w:rPr>
          <w:rFonts w:hint="eastAsia" w:ascii="Times New Roman" w:hAnsi="Times New Roman" w:eastAsia="宋体" w:cs="Times New Roman"/>
          <w:sz w:val="24"/>
          <w:szCs w:val="24"/>
        </w:rPr>
        <w:t>页.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2.费希纳著，李晶译.</w:t>
      </w:r>
      <w:r>
        <w:rPr>
          <w:rFonts w:ascii="Times New Roman" w:hAnsi="Times New Roman" w:eastAsia="宋体" w:cs="Times New Roman"/>
          <w:sz w:val="24"/>
          <w:szCs w:val="24"/>
        </w:rPr>
        <w:t>(2015).</w:t>
      </w:r>
      <w:r>
        <w:rPr>
          <w:rFonts w:hint="eastAsia" w:ascii="Times New Roman" w:hAnsi="Times New Roman" w:eastAsia="宋体" w:cs="Times New Roman"/>
          <w:sz w:val="24"/>
          <w:szCs w:val="24"/>
        </w:rPr>
        <w:t>心理物理学纲要.北京：中国人民大学出版社.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 xml:space="preserve">7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附录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实验原始数据</w:t>
      </w:r>
    </w:p>
    <w:tbl>
      <w:tblPr>
        <w:tblStyle w:val="4"/>
        <w:tblW w:w="27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刺激（mm）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反应（1/0）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56"/>
    <w:rsid w:val="000251A9"/>
    <w:rsid w:val="000352E7"/>
    <w:rsid w:val="001275D7"/>
    <w:rsid w:val="00127C82"/>
    <w:rsid w:val="001413D2"/>
    <w:rsid w:val="00197500"/>
    <w:rsid w:val="001C41F5"/>
    <w:rsid w:val="001D31B8"/>
    <w:rsid w:val="002272A5"/>
    <w:rsid w:val="00245D25"/>
    <w:rsid w:val="00253D61"/>
    <w:rsid w:val="00261F20"/>
    <w:rsid w:val="00277050"/>
    <w:rsid w:val="0031022F"/>
    <w:rsid w:val="00335440"/>
    <w:rsid w:val="00337F08"/>
    <w:rsid w:val="003548B8"/>
    <w:rsid w:val="00355641"/>
    <w:rsid w:val="003C2EFA"/>
    <w:rsid w:val="00407440"/>
    <w:rsid w:val="00490BD6"/>
    <w:rsid w:val="005166CF"/>
    <w:rsid w:val="00525D0C"/>
    <w:rsid w:val="005554C2"/>
    <w:rsid w:val="0056433D"/>
    <w:rsid w:val="005B6A90"/>
    <w:rsid w:val="005D1F0A"/>
    <w:rsid w:val="005E09BA"/>
    <w:rsid w:val="006676D6"/>
    <w:rsid w:val="00670137"/>
    <w:rsid w:val="006C1863"/>
    <w:rsid w:val="006C37D1"/>
    <w:rsid w:val="006C4CE7"/>
    <w:rsid w:val="006F092F"/>
    <w:rsid w:val="00721AF8"/>
    <w:rsid w:val="008261DA"/>
    <w:rsid w:val="00870FA6"/>
    <w:rsid w:val="008713E0"/>
    <w:rsid w:val="008A4322"/>
    <w:rsid w:val="008B60B0"/>
    <w:rsid w:val="008E24FC"/>
    <w:rsid w:val="008F1A93"/>
    <w:rsid w:val="00905398"/>
    <w:rsid w:val="00927AC8"/>
    <w:rsid w:val="009457B6"/>
    <w:rsid w:val="00950FB3"/>
    <w:rsid w:val="009C65BB"/>
    <w:rsid w:val="009D6E8E"/>
    <w:rsid w:val="009D75CE"/>
    <w:rsid w:val="00A07125"/>
    <w:rsid w:val="00A264C1"/>
    <w:rsid w:val="00A5125D"/>
    <w:rsid w:val="00A74356"/>
    <w:rsid w:val="00A923CA"/>
    <w:rsid w:val="00AB3824"/>
    <w:rsid w:val="00B45606"/>
    <w:rsid w:val="00BC21E0"/>
    <w:rsid w:val="00C06DDF"/>
    <w:rsid w:val="00C5396B"/>
    <w:rsid w:val="00CD0096"/>
    <w:rsid w:val="00CE2139"/>
    <w:rsid w:val="00CE437E"/>
    <w:rsid w:val="00D04E53"/>
    <w:rsid w:val="00D05A52"/>
    <w:rsid w:val="00D24B88"/>
    <w:rsid w:val="00D60210"/>
    <w:rsid w:val="00D75324"/>
    <w:rsid w:val="00E55505"/>
    <w:rsid w:val="00EE39F8"/>
    <w:rsid w:val="00F2320B"/>
    <w:rsid w:val="00F41AD8"/>
    <w:rsid w:val="00F53D04"/>
    <w:rsid w:val="00F86EDB"/>
    <w:rsid w:val="00F87A9A"/>
    <w:rsid w:val="00FA3282"/>
    <w:rsid w:val="00FE6513"/>
    <w:rsid w:val="00FE7AC9"/>
    <w:rsid w:val="00FF40C7"/>
    <w:rsid w:val="72F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qFormat/>
    <w:uiPriority w:val="99"/>
    <w:rPr>
      <w:color w:val="954F72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563C1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4">
    <w:name w:val="xl71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1EF6D-7712-4F03-9B6D-01CA401D6F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332</Words>
  <Characters>1897</Characters>
  <Lines>15</Lines>
  <Paragraphs>4</Paragraphs>
  <TotalTime>14</TotalTime>
  <ScaleCrop>false</ScaleCrop>
  <LinksUpToDate>false</LinksUpToDate>
  <CharactersWithSpaces>2225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2019-11-01T16:07:00Z</dcterms:created>
  <dc:creator>Li Sha</dc:creator>
  <cp:lastModifiedBy>道松先生</cp:lastModifiedBy>
  <dcterms:modified xsi:type="dcterms:W3CDTF">2020-07-19T13:47:26Z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