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jc w:val="center"/>
      </w:pPr>
      <w:r>
        <w:rPr>
          <w:b/>
          <w:sz w:val="28"/>
        </w:rPr>
        <w:t>Conservation versus Trajectory Accuracy in Direct Gravitational N-Body Integration: A Benchmark of Euler, Velocity-Verlet, RK4, and Yoshida4</w:t>
      </w:r>
    </w:p>
    <w:p>
      <w:pPr>
        <w:widowControl/>
        <w:spacing w:after="60"/>
        <w:jc w:val="center"/>
      </w:pPr>
      <w:r>
        <w:t>Daniel Durodola</w:t>
      </w:r>
    </w:p>
    <w:p>
      <w:pPr>
        <w:widowControl/>
        <w:spacing w:after="60"/>
        <w:jc w:val="center"/>
      </w:pPr>
      <w:r>
        <w:t>Department of Physics, Faculty of Science, University of Lagos, Akoka, Lagos, Nigeria.</w:t>
      </w:r>
    </w:p>
    <w:p>
      <w:pPr>
        <w:widowControl/>
        <w:spacing w:after="60"/>
        <w:jc w:val="center"/>
      </w:pPr>
      <w:r>
        <w:t>ORCID: 0009-0009-7171-4901 · danieldurodola02@gmail.com</w:t>
      </w:r>
    </w:p>
    <w:p>
      <w:pPr>
        <w:jc w:val="center"/>
      </w:pPr>
      <w:r>
        <w:rPr>
          <w:sz w:val="18"/>
        </w:rPr>
        <w:t>Revised manuscript v1.1 | 18 October 2026</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the long-duration resolution sweep (Table 3) shows that velocity-Verlet has the largest final phase error at all three tested resolutions (5,000, 10,000, and 20,000 steps per orbit), while Yoshida4 has the smallest. At 10,000 steps per orbit, velocity-Verlet and Yoshida4 maintain bounded energy error despite substantial phase separation; RK4 has lower phase error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
        <w:rPr>
          <w:b/>
        </w:rPr>
        <w:t xml:space="preserve">Keywords: </w:t>
      </w:r>
      <w:r>
        <w:t>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Resolution B2 (IAU, 2012).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AEAEA"/>
          </w:tcPr>
          <w:p>
            <w:pPr>
              <w:spacing w:after="20" w:line="240" w:lineRule="auto"/>
            </w:pPr>
            <w:r>
              <w:rPr>
                <w:rFonts w:ascii="Times New Roman" w:hAnsi="Times New Roman"/>
                <w:b/>
                <w:sz w:val="15"/>
              </w:rPr>
              <w:t>Problem</w:t>
            </w:r>
          </w:p>
        </w:tc>
        <w:tc>
          <w:tcPr>
            <w:tcW w:type="dxa" w:w="3120"/>
            <w:vAlign w:val="top"/>
            <w:shd w:fill="EAEAEA"/>
          </w:tcPr>
          <w:p>
            <w:pPr>
              <w:spacing w:after="20" w:line="240" w:lineRule="auto"/>
            </w:pPr>
            <w:r>
              <w:rPr>
                <w:rFonts w:ascii="Times New Roman" w:hAnsi="Times New Roman"/>
                <w:b/>
                <w:sz w:val="15"/>
              </w:rPr>
              <w:t>Initial conditions / units</w:t>
            </w:r>
          </w:p>
        </w:tc>
        <w:tc>
          <w:tcPr>
            <w:tcW w:type="dxa" w:w="3120"/>
            <w:vAlign w:val="top"/>
            <w:shd w:fill="EAEAEA"/>
          </w:tcPr>
          <w:p>
            <w:pPr>
              <w:spacing w:after="20" w:line="240" w:lineRule="auto"/>
            </w:pPr>
            <w:r>
              <w:rPr>
                <w:rFonts w:ascii="Times New Roman" w:hAnsi="Times New Roman"/>
                <w:b/>
                <w:sz w:val="15"/>
              </w:rPr>
              <w:t>Purpose and duration</w:t>
            </w:r>
          </w:p>
        </w:tc>
      </w:tr>
      <w:tr>
        <w:tc>
          <w:tcPr>
            <w:tcW w:type="dxa" w:w="3120"/>
            <w:vAlign w:val="top"/>
          </w:tcPr>
          <w:p>
            <w:pPr>
              <w:spacing w:after="20" w:line="240" w:lineRule="auto"/>
            </w:pPr>
            <w:r>
              <w:rPr>
                <w:rFonts w:ascii="Times New Roman" w:hAnsi="Times New Roman"/>
                <w:b w:val="0"/>
                <w:sz w:val="15"/>
              </w:rPr>
              <w:t>Circular Sun–Earth</w:t>
            </w:r>
          </w:p>
        </w:tc>
        <w:tc>
          <w:tcPr>
            <w:tcW w:type="dxa" w:w="3120"/>
            <w:vAlign w:val="top"/>
          </w:tcPr>
          <w:p>
            <w:pPr>
              <w:spacing w:after="20" w:line="240" w:lineRule="auto"/>
            </w:pPr>
            <w:r>
              <w:rPr>
                <w:rFonts w:ascii="Times New Roman" w:hAnsi="Times New Roman"/>
                <w:b w:val="0"/>
                <w:sz w:val="15"/>
              </w:rPr>
              <w:t>SI units; separation 1 au; barycentric circular state; relative speed √[G(M_sun + M_earth)/a]</w:t>
            </w:r>
          </w:p>
        </w:tc>
        <w:tc>
          <w:tcPr>
            <w:tcW w:type="dxa" w:w="3120"/>
            <w:vAlign w:val="top"/>
          </w:tcPr>
          <w:p>
            <w:pPr>
              <w:spacing w:after="20" w:line="240" w:lineRule="auto"/>
            </w:pPr>
            <w:r>
              <w:rPr>
                <w:rFonts w:ascii="Times New Roman" w:hAnsi="Times New Roman"/>
                <w:b w:val="0"/>
                <w:sz w:val="15"/>
              </w:rPr>
              <w:t>Analytical validation; 1 year, Δt = 0.5 day</w:t>
            </w:r>
          </w:p>
        </w:tc>
      </w:tr>
      <w:tr>
        <w:tc>
          <w:tcPr>
            <w:tcW w:type="dxa" w:w="3120"/>
            <w:vAlign w:val="top"/>
          </w:tcPr>
          <w:p>
            <w:pPr>
              <w:spacing w:after="20" w:line="240" w:lineRule="auto"/>
            </w:pPr>
            <w:r>
              <w:rPr>
                <w:rFonts w:ascii="Times New Roman" w:hAnsi="Times New Roman"/>
                <w:b w:val="0"/>
                <w:sz w:val="15"/>
              </w:rPr>
              <w:t>Eccentric Kepler</w:t>
            </w:r>
          </w:p>
        </w:tc>
        <w:tc>
          <w:tcPr>
            <w:tcW w:type="dxa" w:w="3120"/>
            <w:vAlign w:val="top"/>
          </w:tcPr>
          <w:p>
            <w:pPr>
              <w:spacing w:after="20" w:line="240" w:lineRule="auto"/>
            </w:pPr>
            <w:r>
              <w:rPr>
                <w:rFonts w:ascii="Times New Roman" w:hAnsi="Times New Roman"/>
                <w:b w:val="0"/>
                <w:sz w:val="15"/>
              </w:rPr>
              <w:t>Dimensionless μ = 1, a = 1, e = 0.9; periapsis r = 0.1, tangential speed √19</w:t>
            </w:r>
          </w:p>
        </w:tc>
        <w:tc>
          <w:tcPr>
            <w:tcW w:type="dxa" w:w="3120"/>
            <w:vAlign w:val="top"/>
          </w:tcPr>
          <w:p>
            <w:pPr>
              <w:spacing w:after="20" w:line="240" w:lineRule="auto"/>
            </w:pPr>
            <w:r>
              <w:rPr>
                <w:rFonts w:ascii="Times New Roman" w:hAnsi="Times New Roman"/>
                <w:b w:val="0"/>
                <w:sz w:val="15"/>
              </w:rPr>
              <w:t>Analytical Kepler reference; 100–100,000 steps/orbit; long run 1,000 orbits at 10,000 steps/orbit</w:t>
            </w:r>
          </w:p>
        </w:tc>
      </w:tr>
      <w:tr>
        <w:tc>
          <w:tcPr>
            <w:tcW w:type="dxa" w:w="3120"/>
            <w:vAlign w:val="top"/>
          </w:tcPr>
          <w:p>
            <w:pPr>
              <w:spacing w:after="20" w:line="240" w:lineRule="auto"/>
            </w:pPr>
            <w:r>
              <w:rPr>
                <w:rFonts w:ascii="Times New Roman" w:hAnsi="Times New Roman"/>
                <w:b w:val="0"/>
                <w:sz w:val="15"/>
              </w:rPr>
              <w:t>Figure-eight</w:t>
            </w:r>
          </w:p>
        </w:tc>
        <w:tc>
          <w:tcPr>
            <w:tcW w:type="dxa" w:w="3120"/>
            <w:vAlign w:val="top"/>
          </w:tcPr>
          <w:p>
            <w:pPr>
              <w:spacing w:after="20" w:line="240" w:lineRule="auto"/>
            </w:pPr>
            <w:r>
              <w:rPr>
                <w:rFonts w:ascii="Times New Roman" w:hAnsi="Times New Roman"/>
                <w:b w:val="0"/>
                <w:sz w:val="15"/>
              </w:rPr>
              <w:t>Equal masses; r₁=(0.97000436,−0.24308753), r₂=−r₁, r₃=(0,0); v₁=v₂=(0.466203685,0.432365730), v₃=−2v₁</w:t>
            </w:r>
          </w:p>
        </w:tc>
        <w:tc>
          <w:tcPr>
            <w:tcW w:type="dxa" w:w="3120"/>
            <w:vAlign w:val="top"/>
          </w:tcPr>
          <w:p>
            <w:pPr>
              <w:spacing w:after="20" w:line="240" w:lineRule="auto"/>
            </w:pPr>
            <w:r>
              <w:rPr>
                <w:rFonts w:ascii="Times New Roman" w:hAnsi="Times New Roman"/>
                <w:b w:val="0"/>
                <w:sz w:val="15"/>
              </w:rPr>
              <w:t>One-period RK4 return error; published rounded initial conditions</w:t>
            </w:r>
          </w:p>
        </w:tc>
      </w:tr>
      <w:tr>
        <w:tc>
          <w:tcPr>
            <w:tcW w:type="dxa" w:w="3120"/>
            <w:vAlign w:val="top"/>
          </w:tcPr>
          <w:p>
            <w:pPr>
              <w:spacing w:after="20" w:line="240" w:lineRule="auto"/>
            </w:pPr>
            <w:r>
              <w:rPr>
                <w:rFonts w:ascii="Times New Roman" w:hAnsi="Times New Roman"/>
                <w:b w:val="0"/>
                <w:sz w:val="15"/>
              </w:rPr>
              <w:t>Pythagorean</w:t>
            </w:r>
          </w:p>
        </w:tc>
        <w:tc>
          <w:tcPr>
            <w:tcW w:type="dxa" w:w="3120"/>
            <w:vAlign w:val="top"/>
          </w:tcPr>
          <w:p>
            <w:pPr>
              <w:spacing w:after="20" w:line="240" w:lineRule="auto"/>
            </w:pPr>
            <w:r>
              <w:rPr>
                <w:rFonts w:ascii="Times New Roman" w:hAnsi="Times New Roman"/>
                <w:b w:val="0"/>
                <w:sz w:val="15"/>
              </w:rPr>
              <w:t>Dimensionless G=1; masses (3,4,5), positions (1,3), (−2,−1), (1,−1), initial velocities zero</w:t>
            </w:r>
          </w:p>
        </w:tc>
        <w:tc>
          <w:tcPr>
            <w:tcW w:type="dxa" w:w="3120"/>
            <w:vAlign w:val="top"/>
          </w:tcPr>
          <w:p>
            <w:pPr>
              <w:spacing w:after="20" w:line="240" w:lineRule="auto"/>
            </w:pPr>
            <w:r>
              <w:rPr>
                <w:rFonts w:ascii="Times New Roman" w:hAnsi="Times New Roman"/>
                <w:b w:val="0"/>
                <w:sz w:val="15"/>
              </w:rPr>
              <w:t>Qualitative close-encounter example only; not used to rank methods</w:t>
            </w:r>
          </w:p>
        </w:tc>
      </w:tr>
      <w:tr>
        <w:tc>
          <w:tcPr>
            <w:tcW w:type="dxa" w:w="3120"/>
            <w:vAlign w:val="top"/>
          </w:tcPr>
          <w:p>
            <w:pPr>
              <w:spacing w:after="20" w:line="240" w:lineRule="auto"/>
            </w:pPr>
            <w:r>
              <w:rPr>
                <w:rFonts w:ascii="Times New Roman" w:hAnsi="Times New Roman"/>
                <w:b w:val="0"/>
                <w:sz w:val="15"/>
              </w:rPr>
              <w:t>Sun–Earth–Mars / binary</w:t>
            </w:r>
          </w:p>
        </w:tc>
        <w:tc>
          <w:tcPr>
            <w:tcW w:type="dxa" w:w="3120"/>
            <w:vAlign w:val="top"/>
          </w:tcPr>
          <w:p>
            <w:pPr>
              <w:spacing w:after="20" w:line="240" w:lineRule="auto"/>
            </w:pPr>
            <w:r>
              <w:rPr>
                <w:rFonts w:ascii="Times New Roman" w:hAnsi="Times New Roman"/>
                <w:b w:val="0"/>
                <w:sz w:val="15"/>
              </w:rPr>
              <w:t>Direct Newtonian point masses; barycentric states</w:t>
            </w:r>
          </w:p>
        </w:tc>
        <w:tc>
          <w:tcPr>
            <w:tcW w:type="dxa" w:w="3120"/>
            <w:vAlign w:val="top"/>
          </w:tcPr>
          <w:p>
            <w:pPr>
              <w:spacing w:after="20" w:line="240" w:lineRule="auto"/>
            </w:pPr>
            <w:r>
              <w:rPr>
                <w:rFonts w:ascii="Times New Roman" w:hAnsi="Times New Roman"/>
                <w:b w:val="0"/>
                <w:sz w:val="15"/>
              </w:rPr>
              <w:t>Perturbation and second analytical validation</w:t>
            </w:r>
          </w:p>
        </w:tc>
      </w:tr>
      <w:tr>
        <w:tc>
          <w:tcPr>
            <w:tcW w:type="dxa" w:w="3120"/>
            <w:vAlign w:val="top"/>
          </w:tcPr>
          <w:p>
            <w:pPr>
              <w:spacing w:after="20" w:line="240" w:lineRule="auto"/>
            </w:pPr>
            <w:r>
              <w:rPr>
                <w:rFonts w:ascii="Times New Roman" w:hAnsi="Times New Roman"/>
                <w:b w:val="0"/>
                <w:sz w:val="15"/>
              </w:rPr>
              <w:t>Scaling / softening</w:t>
            </w:r>
          </w:p>
        </w:tc>
        <w:tc>
          <w:tcPr>
            <w:tcW w:type="dxa" w:w="3120"/>
            <w:vAlign w:val="top"/>
          </w:tcPr>
          <w:p>
            <w:pPr>
              <w:spacing w:after="20" w:line="240" w:lineRule="auto"/>
            </w:pPr>
            <w:r>
              <w:rPr>
                <w:rFonts w:ascii="Times New Roman" w:hAnsi="Times New Roman"/>
                <w:b w:val="0"/>
                <w:sz w:val="15"/>
              </w:rPr>
              <w:t>Direct summation; N scaling and ε sweep</w:t>
            </w:r>
          </w:p>
        </w:tc>
        <w:tc>
          <w:tcPr>
            <w:tcW w:type="dxa" w:w="3120"/>
            <w:vAlign w:val="top"/>
          </w:tcPr>
          <w:p>
            <w:pPr>
              <w:spacing w:after="20" w:line="240" w:lineRule="auto"/>
            </w:pPr>
            <w:r>
              <w:rPr>
                <w:rFonts w:ascii="Times New Roman" w:hAnsi="Times New Roman"/>
                <w:b w:val="0"/>
                <w:sz w:val="15"/>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EAEAEA"/>
          </w:tcPr>
          <w:p>
            <w:pPr>
              <w:spacing w:after="20" w:line="240" w:lineRule="auto"/>
            </w:pPr>
            <w:r>
              <w:rPr>
                <w:rFonts w:ascii="Times New Roman" w:hAnsi="Times New Roman"/>
                <w:b/>
                <w:sz w:val="15"/>
              </w:rPr>
              <w:t>Method</w:t>
            </w:r>
          </w:p>
        </w:tc>
        <w:tc>
          <w:tcPr>
            <w:tcW w:type="dxa" w:w="2340"/>
            <w:vAlign w:val="top"/>
            <w:shd w:fill="EAEAEA"/>
          </w:tcPr>
          <w:p>
            <w:pPr>
              <w:spacing w:after="20" w:line="240" w:lineRule="auto"/>
            </w:pPr>
            <w:r>
              <w:rPr>
                <w:rFonts w:ascii="Times New Roman" w:hAnsi="Times New Roman"/>
                <w:b/>
                <w:sz w:val="15"/>
              </w:rPr>
              <w:t>Max |ΔE/E₀|</w:t>
            </w:r>
          </w:p>
        </w:tc>
        <w:tc>
          <w:tcPr>
            <w:tcW w:type="dxa" w:w="2340"/>
            <w:vAlign w:val="top"/>
            <w:shd w:fill="EAEAEA"/>
          </w:tcPr>
          <w:p>
            <w:pPr>
              <w:spacing w:after="20" w:line="240" w:lineRule="auto"/>
            </w:pPr>
            <w:r>
              <w:rPr>
                <w:rFonts w:ascii="Times New Roman" w:hAnsi="Times New Roman"/>
                <w:b/>
                <w:sz w:val="15"/>
              </w:rPr>
              <w:t>Max |ΔL/L₀|</w:t>
            </w:r>
          </w:p>
        </w:tc>
        <w:tc>
          <w:tcPr>
            <w:tcW w:type="dxa" w:w="2340"/>
            <w:vAlign w:val="top"/>
            <w:shd w:fill="EAEAEA"/>
          </w:tcPr>
          <w:p>
            <w:pPr>
              <w:spacing w:after="20" w:line="240" w:lineRule="auto"/>
            </w:pPr>
            <w:r>
              <w:rPr>
                <w:rFonts w:ascii="Times New Roman" w:hAnsi="Times New Roman"/>
                <w:b/>
                <w:sz w:val="15"/>
              </w:rPr>
              <w:t>Max Earth position error (au)</w:t>
            </w:r>
          </w:p>
        </w:tc>
      </w:tr>
      <w:tr>
        <w:tc>
          <w:tcPr>
            <w:tcW w:type="dxa" w:w="2340"/>
            <w:vAlign w:val="top"/>
          </w:tcPr>
          <w:p>
            <w:pPr>
              <w:spacing w:after="20" w:line="240" w:lineRule="auto"/>
            </w:pPr>
            <w:r>
              <w:rPr>
                <w:rFonts w:ascii="Times New Roman" w:hAnsi="Times New Roman"/>
                <w:b w:val="0"/>
                <w:sz w:val="15"/>
              </w:rPr>
              <w:t>Euler</w:t>
            </w:r>
          </w:p>
        </w:tc>
        <w:tc>
          <w:tcPr>
            <w:tcW w:type="dxa" w:w="2340"/>
            <w:vAlign w:val="top"/>
          </w:tcPr>
          <w:p>
            <w:pPr>
              <w:spacing w:after="20" w:line="240" w:lineRule="auto"/>
            </w:pPr>
            <w:r>
              <w:rPr>
                <w:rFonts w:ascii="Times New Roman" w:hAnsi="Times New Roman"/>
                <w:b w:val="0"/>
                <w:sz w:val="15"/>
              </w:rPr>
              <w:t>4.935×10⁻¹</w:t>
            </w:r>
          </w:p>
        </w:tc>
        <w:tc>
          <w:tcPr>
            <w:tcW w:type="dxa" w:w="2340"/>
            <w:vAlign w:val="top"/>
          </w:tcPr>
          <w:p>
            <w:pPr>
              <w:spacing w:after="20" w:line="240" w:lineRule="auto"/>
            </w:pPr>
            <w:r>
              <w:rPr>
                <w:rFonts w:ascii="Times New Roman" w:hAnsi="Times New Roman"/>
                <w:b w:val="0"/>
                <w:sz w:val="15"/>
              </w:rPr>
              <w:t>3.991×10⁻¹</w:t>
            </w:r>
          </w:p>
        </w:tc>
        <w:tc>
          <w:tcPr>
            <w:tcW w:type="dxa" w:w="2340"/>
            <w:vAlign w:val="top"/>
          </w:tcPr>
          <w:p>
            <w:pPr>
              <w:spacing w:after="20" w:line="240" w:lineRule="auto"/>
            </w:pPr>
            <w:r>
              <w:rPr>
                <w:rFonts w:ascii="Times New Roman" w:hAnsi="Times New Roman"/>
                <w:b w:val="0"/>
                <w:sz w:val="15"/>
              </w:rPr>
              <w:t>2.751</w:t>
            </w:r>
          </w:p>
        </w:tc>
      </w:tr>
      <w:tr>
        <w:tc>
          <w:tcPr>
            <w:tcW w:type="dxa" w:w="2340"/>
            <w:vAlign w:val="top"/>
          </w:tcPr>
          <w:p>
            <w:pPr>
              <w:spacing w:after="20" w:line="240" w:lineRule="auto"/>
            </w:pPr>
            <w:r>
              <w:rPr>
                <w:rFonts w:ascii="Times New Roman" w:hAnsi="Times New Roman"/>
                <w:b w:val="0"/>
                <w:sz w:val="15"/>
              </w:rPr>
              <w:t>Velocity-Verlet</w:t>
            </w:r>
          </w:p>
        </w:tc>
        <w:tc>
          <w:tcPr>
            <w:tcW w:type="dxa" w:w="2340"/>
            <w:vAlign w:val="top"/>
          </w:tcPr>
          <w:p>
            <w:pPr>
              <w:spacing w:after="20" w:line="240" w:lineRule="auto"/>
            </w:pPr>
            <w:r>
              <w:rPr>
                <w:rFonts w:ascii="Times New Roman" w:hAnsi="Times New Roman"/>
                <w:b w:val="0"/>
                <w:sz w:val="15"/>
              </w:rPr>
              <w:t>3.497×10⁻⁷</w:t>
            </w:r>
          </w:p>
        </w:tc>
        <w:tc>
          <w:tcPr>
            <w:tcW w:type="dxa" w:w="2340"/>
            <w:vAlign w:val="top"/>
          </w:tcPr>
          <w:p>
            <w:pPr>
              <w:spacing w:after="20" w:line="240" w:lineRule="auto"/>
            </w:pPr>
            <w:r>
              <w:rPr>
                <w:rFonts w:ascii="Times New Roman" w:hAnsi="Times New Roman"/>
                <w:b w:val="0"/>
                <w:sz w:val="15"/>
              </w:rPr>
              <w:t>2.726×10⁻¹⁵</w:t>
            </w:r>
          </w:p>
        </w:tc>
        <w:tc>
          <w:tcPr>
            <w:tcW w:type="dxa" w:w="2340"/>
            <w:vAlign w:val="top"/>
          </w:tcPr>
          <w:p>
            <w:pPr>
              <w:spacing w:after="20" w:line="240" w:lineRule="auto"/>
            </w:pPr>
            <w:r>
              <w:rPr>
                <w:rFonts w:ascii="Times New Roman" w:hAnsi="Times New Roman"/>
                <w:b w:val="0"/>
                <w:sz w:val="15"/>
              </w:rPr>
              <w:t>1.250×10⁻²</w:t>
            </w:r>
          </w:p>
        </w:tc>
      </w:tr>
      <w:tr>
        <w:tc>
          <w:tcPr>
            <w:tcW w:type="dxa" w:w="2340"/>
            <w:vAlign w:val="top"/>
          </w:tcPr>
          <w:p>
            <w:pPr>
              <w:spacing w:after="20" w:line="240" w:lineRule="auto"/>
            </w:pPr>
            <w:r>
              <w:rPr>
                <w:rFonts w:ascii="Times New Roman" w:hAnsi="Times New Roman"/>
                <w:b w:val="0"/>
                <w:sz w:val="15"/>
              </w:rPr>
              <w:t>RK4</w:t>
            </w:r>
          </w:p>
        </w:tc>
        <w:tc>
          <w:tcPr>
            <w:tcW w:type="dxa" w:w="2340"/>
            <w:vAlign w:val="top"/>
          </w:tcPr>
          <w:p>
            <w:pPr>
              <w:spacing w:after="20" w:line="240" w:lineRule="auto"/>
            </w:pPr>
            <w:r>
              <w:rPr>
                <w:rFonts w:ascii="Times New Roman" w:hAnsi="Times New Roman"/>
                <w:b w:val="0"/>
                <w:sz w:val="15"/>
              </w:rPr>
              <w:t>4.207×10⁻⁸</w:t>
            </w:r>
          </w:p>
        </w:tc>
        <w:tc>
          <w:tcPr>
            <w:tcW w:type="dxa" w:w="2340"/>
            <w:vAlign w:val="top"/>
          </w:tcPr>
          <w:p>
            <w:pPr>
              <w:spacing w:after="20" w:line="240" w:lineRule="auto"/>
            </w:pPr>
            <w:r>
              <w:rPr>
                <w:rFonts w:ascii="Times New Roman" w:hAnsi="Times New Roman"/>
                <w:b w:val="0"/>
                <w:sz w:val="15"/>
              </w:rPr>
              <w:t>2.104×10⁻⁸</w:t>
            </w:r>
          </w:p>
        </w:tc>
        <w:tc>
          <w:tcPr>
            <w:tcW w:type="dxa" w:w="2340"/>
            <w:vAlign w:val="top"/>
          </w:tcPr>
          <w:p>
            <w:pPr>
              <w:spacing w:after="20" w:line="240" w:lineRule="auto"/>
            </w:pPr>
            <w:r>
              <w:rPr>
                <w:rFonts w:ascii="Times New Roman" w:hAnsi="Times New Roman"/>
                <w:b w:val="0"/>
                <w:sz w:val="15"/>
              </w:rPr>
              <w:t>1.999×10⁻⁶</w:t>
            </w:r>
          </w:p>
        </w:tc>
      </w:tr>
      <w:tr>
        <w:tc>
          <w:tcPr>
            <w:tcW w:type="dxa" w:w="2340"/>
            <w:vAlign w:val="top"/>
          </w:tcPr>
          <w:p>
            <w:r>
              <w:t>Yoshida4</w:t>
            </w:r>
          </w:p>
        </w:tc>
        <w:tc>
          <w:tcPr>
            <w:tcW w:type="dxa" w:w="2340"/>
            <w:vAlign w:val="top"/>
          </w:tcPr>
          <w:p>
            <w:r>
              <w:t>2.085×10⁻¹²</w:t>
            </w:r>
          </w:p>
        </w:tc>
        <w:tc>
          <w:tcPr>
            <w:tcW w:type="dxa" w:w="2340"/>
            <w:vAlign w:val="top"/>
          </w:tcPr>
          <w:p>
            <w:r>
              <w:t>6.723×10⁻¹⁵</w:t>
            </w:r>
          </w:p>
        </w:tc>
        <w:tc>
          <w:tcPr>
            <w:tcW w:type="dxa" w:w="2340"/>
            <w:vAlign w:val="top"/>
          </w:tcPr>
          <w:p>
            <w: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Velocity-Verlet’s trajectory is effectively lost relative to the analytical orbit over this long integration: its maximum position discrepancy remains |Δr|/a ≈ 1.88–2.02 across all three resolutions, including 20,000 steps per orbit. A discrepancy approaching 2a means that, at some sampled times, the numerical and reference positions are nearly opposite one another—consistent with a phase separation of about half an orbit—even though the energy error remains bounded. Thus, saying only that phase error “accumulates” understates the observed loss of pointwise trajectory agreement. Yoshida4 has the smallest final phase error at each tested resolution, while velocity-Verlet has the largest. For RK4, the final phase error falls by about 3.8× from 5,000 to 10,000 steps per orbit and then by about 29× from 10,000 to 20,000. This nonuniform change is not the clean 16× reduction expected from a simple fourth-order asymptotic phase-error regime under timestep halving; the present sweep therefore does not establish that RK4 has reached that regime. These rankings and scaling observations apply to the tested orbit, duration, diagnostics,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EAEAEA"/>
          </w:tcPr>
          <w:p>
            <w:pPr>
              <w:spacing w:after="20" w:line="240" w:lineRule="auto"/>
            </w:pPr>
            <w:r>
              <w:rPr>
                <w:rFonts w:ascii="Times New Roman" w:hAnsi="Times New Roman"/>
                <w:b/>
                <w:sz w:val="15"/>
              </w:rPr>
              <w:t>Steps/orbit</w:t>
            </w:r>
          </w:p>
        </w:tc>
        <w:tc>
          <w:tcPr>
            <w:tcW w:type="dxa" w:w="1872"/>
            <w:vAlign w:val="top"/>
            <w:shd w:fill="EAEAEA"/>
          </w:tcPr>
          <w:p>
            <w:pPr>
              <w:spacing w:after="20" w:line="240" w:lineRule="auto"/>
            </w:pPr>
            <w:r>
              <w:rPr>
                <w:rFonts w:ascii="Times New Roman" w:hAnsi="Times New Roman"/>
                <w:b/>
                <w:sz w:val="15"/>
              </w:rPr>
              <w:t>Method</w:t>
            </w:r>
          </w:p>
        </w:tc>
        <w:tc>
          <w:tcPr>
            <w:tcW w:type="dxa" w:w="1872"/>
            <w:vAlign w:val="top"/>
            <w:shd w:fill="EAEAEA"/>
          </w:tcPr>
          <w:p>
            <w:pPr>
              <w:spacing w:after="20" w:line="240" w:lineRule="auto"/>
            </w:pPr>
            <w:r>
              <w:rPr>
                <w:rFonts w:ascii="Times New Roman" w:hAnsi="Times New Roman"/>
                <w:b/>
                <w:sz w:val="15"/>
              </w:rPr>
              <w:t>Max |ΔE/E₀|</w:t>
            </w:r>
          </w:p>
        </w:tc>
        <w:tc>
          <w:tcPr>
            <w:tcW w:type="dxa" w:w="1872"/>
            <w:vAlign w:val="top"/>
            <w:shd w:fill="EAEAEA"/>
          </w:tcPr>
          <w:p>
            <w:pPr>
              <w:spacing w:after="20" w:line="240" w:lineRule="auto"/>
            </w:pPr>
            <w:r>
              <w:rPr>
                <w:rFonts w:ascii="Times New Roman" w:hAnsi="Times New Roman"/>
                <w:b/>
                <w:sz w:val="15"/>
              </w:rPr>
              <w:t>Max |Δr|/a</w:t>
            </w:r>
          </w:p>
        </w:tc>
        <w:tc>
          <w:tcPr>
            <w:tcW w:type="dxa" w:w="1872"/>
            <w:vAlign w:val="top"/>
            <w:shd w:fill="EAEAEA"/>
          </w:tcPr>
          <w:p>
            <w:pPr>
              <w:spacing w:after="20" w:line="240" w:lineRule="auto"/>
            </w:pPr>
            <w:r>
              <w:rPr>
                <w:rFonts w:ascii="Times New Roman" w:hAnsi="Times New Roman"/>
                <w:b/>
                <w:sz w:val="15"/>
              </w:rPr>
              <w:t>Final |Δν| (rad)</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3.942×10⁻³</w:t>
            </w:r>
          </w:p>
        </w:tc>
        <w:tc>
          <w:tcPr>
            <w:tcW w:type="dxa" w:w="1872"/>
            <w:vAlign w:val="top"/>
          </w:tcPr>
          <w:p>
            <w:pPr>
              <w:spacing w:after="20" w:line="240" w:lineRule="auto"/>
            </w:pPr>
            <w:r>
              <w:rPr>
                <w:rFonts w:ascii="Times New Roman" w:hAnsi="Times New Roman"/>
                <w:b w:val="0"/>
                <w:sz w:val="15"/>
              </w:rPr>
              <w:t>2.015</w:t>
            </w:r>
          </w:p>
        </w:tc>
        <w:tc>
          <w:tcPr>
            <w:tcW w:type="dxa" w:w="1872"/>
            <w:vAlign w:val="top"/>
          </w:tcPr>
          <w:p>
            <w:pPr>
              <w:spacing w:after="20" w:line="240" w:lineRule="auto"/>
            </w:pPr>
            <w:r>
              <w:rPr>
                <w:rFonts w:ascii="Times New Roman" w:hAnsi="Times New Roman"/>
                <w:b w:val="0"/>
                <w:sz w:val="15"/>
              </w:rPr>
              <w:t>35.008</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1.141×10⁻⁴</w:t>
            </w:r>
          </w:p>
        </w:tc>
        <w:tc>
          <w:tcPr>
            <w:tcW w:type="dxa" w:w="1872"/>
            <w:vAlign w:val="top"/>
          </w:tcPr>
          <w:p>
            <w:pPr>
              <w:spacing w:after="20" w:line="240" w:lineRule="auto"/>
            </w:pPr>
            <w:r>
              <w:rPr>
                <w:rFonts w:ascii="Times New Roman" w:hAnsi="Times New Roman"/>
                <w:b w:val="0"/>
                <w:sz w:val="15"/>
              </w:rPr>
              <w:t>0.9658</w:t>
            </w:r>
          </w:p>
        </w:tc>
        <w:tc>
          <w:tcPr>
            <w:tcW w:type="dxa" w:w="1872"/>
            <w:vAlign w:val="top"/>
          </w:tcPr>
          <w:p>
            <w:pPr>
              <w:spacing w:after="20" w:line="240" w:lineRule="auto"/>
            </w:pPr>
            <w:r>
              <w:rPr>
                <w:rFonts w:ascii="Times New Roman" w:hAnsi="Times New Roman"/>
                <w:b w:val="0"/>
                <w:sz w:val="15"/>
              </w:rPr>
              <w:t>2.625</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3.915×10⁻⁶</w:t>
            </w:r>
          </w:p>
        </w:tc>
        <w:tc>
          <w:tcPr>
            <w:tcW w:type="dxa" w:w="1872"/>
            <w:vAlign w:val="top"/>
          </w:tcPr>
          <w:p>
            <w:pPr>
              <w:spacing w:after="20" w:line="240" w:lineRule="auto"/>
            </w:pPr>
            <w:r>
              <w:rPr>
                <w:rFonts w:ascii="Times New Roman" w:hAnsi="Times New Roman"/>
                <w:b w:val="0"/>
                <w:sz w:val="15"/>
              </w:rPr>
              <w:t>0.1495</w:t>
            </w:r>
          </w:p>
        </w:tc>
        <w:tc>
          <w:tcPr>
            <w:tcW w:type="dxa" w:w="1872"/>
            <w:vAlign w:val="top"/>
          </w:tcPr>
          <w:p>
            <w:pPr>
              <w:spacing w:after="20" w:line="240" w:lineRule="auto"/>
            </w:pPr>
            <w:r>
              <w:rPr>
                <w:rFonts w:ascii="Times New Roman" w:hAnsi="Times New Roman"/>
                <w:b w:val="0"/>
                <w:sz w:val="15"/>
              </w:rPr>
              <w:t>1.228</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9.850×10⁻⁴</w:t>
            </w:r>
          </w:p>
        </w:tc>
        <w:tc>
          <w:tcPr>
            <w:tcW w:type="dxa" w:w="1872"/>
            <w:vAlign w:val="top"/>
          </w:tcPr>
          <w:p>
            <w:pPr>
              <w:spacing w:after="20" w:line="240" w:lineRule="auto"/>
            </w:pPr>
            <w:r>
              <w:rPr>
                <w:rFonts w:ascii="Times New Roman" w:hAnsi="Times New Roman"/>
                <w:b w:val="0"/>
                <w:sz w:val="15"/>
              </w:rPr>
              <w:t>2.002</w:t>
            </w:r>
          </w:p>
        </w:tc>
        <w:tc>
          <w:tcPr>
            <w:tcW w:type="dxa" w:w="1872"/>
            <w:vAlign w:val="top"/>
          </w:tcPr>
          <w:p>
            <w:pPr>
              <w:spacing w:after="20" w:line="240" w:lineRule="auto"/>
            </w:pPr>
            <w:r>
              <w:rPr>
                <w:rFonts w:ascii="Times New Roman" w:hAnsi="Times New Roman"/>
                <w:b w:val="0"/>
                <w:sz w:val="15"/>
              </w:rPr>
              <w:t>9.441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3.576×10⁻⁶</w:t>
            </w:r>
          </w:p>
        </w:tc>
        <w:tc>
          <w:tcPr>
            <w:tcW w:type="dxa" w:w="1872"/>
            <w:vAlign w:val="top"/>
          </w:tcPr>
          <w:p>
            <w:pPr>
              <w:spacing w:after="20" w:line="240" w:lineRule="auto"/>
            </w:pPr>
            <w:r>
              <w:rPr>
                <w:rFonts w:ascii="Times New Roman" w:hAnsi="Times New Roman"/>
                <w:b w:val="0"/>
                <w:sz w:val="15"/>
              </w:rPr>
              <w:t>0.07208</w:t>
            </w:r>
          </w:p>
        </w:tc>
        <w:tc>
          <w:tcPr>
            <w:tcW w:type="dxa" w:w="1872"/>
            <w:vAlign w:val="top"/>
          </w:tcPr>
          <w:p>
            <w:pPr>
              <w:spacing w:after="20" w:line="240" w:lineRule="auto"/>
            </w:pPr>
            <w:r>
              <w:rPr>
                <w:rFonts w:ascii="Times New Roman" w:hAnsi="Times New Roman"/>
                <w:b w:val="0"/>
                <w:sz w:val="15"/>
              </w:rPr>
              <w:t>0.6851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2.456×10⁻⁷</w:t>
            </w:r>
          </w:p>
        </w:tc>
        <w:tc>
          <w:tcPr>
            <w:tcW w:type="dxa" w:w="1872"/>
            <w:vAlign w:val="top"/>
          </w:tcPr>
          <w:p>
            <w:pPr>
              <w:spacing w:after="20" w:line="240" w:lineRule="auto"/>
            </w:pPr>
            <w:r>
              <w:rPr>
                <w:rFonts w:ascii="Times New Roman" w:hAnsi="Times New Roman"/>
                <w:b w:val="0"/>
                <w:sz w:val="15"/>
              </w:rPr>
              <w:t>0.01008</w:t>
            </w:r>
          </w:p>
        </w:tc>
        <w:tc>
          <w:tcPr>
            <w:tcW w:type="dxa" w:w="1872"/>
            <w:vAlign w:val="top"/>
          </w:tcPr>
          <w:p>
            <w:pPr>
              <w:spacing w:after="20" w:line="240" w:lineRule="auto"/>
            </w:pPr>
            <w:r>
              <w:rPr>
                <w:rFonts w:ascii="Times New Roman" w:hAnsi="Times New Roman"/>
                <w:b w:val="0"/>
                <w:sz w:val="15"/>
              </w:rPr>
              <w:t>0.1007</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2.462×10⁻⁴</w:t>
            </w:r>
          </w:p>
        </w:tc>
        <w:tc>
          <w:tcPr>
            <w:tcW w:type="dxa" w:w="1872"/>
            <w:vAlign w:val="top"/>
          </w:tcPr>
          <w:p>
            <w:pPr>
              <w:spacing w:after="20" w:line="240" w:lineRule="auto"/>
            </w:pPr>
            <w:r>
              <w:rPr>
                <w:rFonts w:ascii="Times New Roman" w:hAnsi="Times New Roman"/>
                <w:b w:val="0"/>
                <w:sz w:val="15"/>
              </w:rPr>
              <w:t>1.880</w:t>
            </w:r>
          </w:p>
        </w:tc>
        <w:tc>
          <w:tcPr>
            <w:tcW w:type="dxa" w:w="1872"/>
            <w:vAlign w:val="top"/>
          </w:tcPr>
          <w:p>
            <w:pPr>
              <w:spacing w:after="20" w:line="240" w:lineRule="auto"/>
            </w:pPr>
            <w:r>
              <w:rPr>
                <w:rFonts w:ascii="Times New Roman" w:hAnsi="Times New Roman"/>
                <w:b w:val="0"/>
                <w:sz w:val="15"/>
              </w:rPr>
              <w:t>3.046</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1.125×10⁻⁷</w:t>
            </w:r>
          </w:p>
        </w:tc>
        <w:tc>
          <w:tcPr>
            <w:tcW w:type="dxa" w:w="1872"/>
            <w:vAlign w:val="top"/>
          </w:tcPr>
          <w:p>
            <w:pPr>
              <w:spacing w:after="20" w:line="240" w:lineRule="auto"/>
            </w:pPr>
            <w:r>
              <w:rPr>
                <w:rFonts w:ascii="Times New Roman" w:hAnsi="Times New Roman"/>
                <w:b w:val="0"/>
                <w:sz w:val="15"/>
              </w:rPr>
              <w:t>0.002345</w:t>
            </w:r>
          </w:p>
        </w:tc>
        <w:tc>
          <w:tcPr>
            <w:tcW w:type="dxa" w:w="1872"/>
            <w:vAlign w:val="top"/>
          </w:tcPr>
          <w:p>
            <w:pPr>
              <w:spacing w:after="20" w:line="240" w:lineRule="auto"/>
            </w:pPr>
            <w:r>
              <w:rPr>
                <w:rFonts w:ascii="Times New Roman" w:hAnsi="Times New Roman"/>
                <w:b w:val="0"/>
                <w:sz w:val="15"/>
              </w:rPr>
              <w:t>0.02344</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1.536×10⁻⁸</w:t>
            </w:r>
          </w:p>
        </w:tc>
        <w:tc>
          <w:tcPr>
            <w:tcW w:type="dxa" w:w="1872"/>
            <w:vAlign w:val="top"/>
          </w:tcPr>
          <w:p>
            <w:pPr>
              <w:spacing w:after="20" w:line="240" w:lineRule="auto"/>
            </w:pPr>
            <w:r>
              <w:rPr>
                <w:rFonts w:ascii="Times New Roman" w:hAnsi="Times New Roman"/>
                <w:b w:val="0"/>
                <w:sz w:val="15"/>
              </w:rPr>
              <w:t>0.0006309</w:t>
            </w:r>
          </w:p>
        </w:tc>
        <w:tc>
          <w:tcPr>
            <w:tcW w:type="dxa" w:w="1872"/>
            <w:vAlign w:val="top"/>
          </w:tcPr>
          <w:p>
            <w:pPr>
              <w:spacing w:after="20" w:line="240" w:lineRule="auto"/>
            </w:pPr>
            <w:r>
              <w:rPr>
                <w:rFonts w:ascii="Times New Roman" w:hAnsi="Times New Roman"/>
                <w:b w:val="0"/>
                <w:sz w:val="15"/>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1.11×10⁻¹¹a.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1.11×10⁻¹¹a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source code, supporting numerical outputs, figures, and reproducibility materials for this study are available in the public GitHub repository: https://github.com/DurodolaDaniel/nbody-gravitational-integration-benchmark. The repository contains the direct-force implementation, convergence and work–precision scripts, CSV outputs, figures, and environment metadata.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repository. The v1.1.0 software release is archived in Zenodo: https://doi.org/10.5281/zenodo.23480336.</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The source code and supporting materials are available in the public repository; a persistent archive DOI will be added after the corrected release is deposited in Zenodo. External REBOUND/JPL Horizons validation remains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Computational physics; gravitational N-body numerical integration benchmark</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