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B802" w14:textId="5E66E9A1" w:rsidR="00E80D92" w:rsidRDefault="002C22FA" w:rsidP="00E80D92">
      <w:r w:rsidRPr="002C22FA">
        <w:t xml:space="preserve">Kumar, R., &amp; Kumar, S. (2024). Enhancing machine learning–based forecasting of chronic renal disease with explainable AI. </w:t>
      </w:r>
      <w:proofErr w:type="spellStart"/>
      <w:r w:rsidRPr="002C22FA">
        <w:t>PeerJ</w:t>
      </w:r>
      <w:proofErr w:type="spellEnd"/>
      <w:r w:rsidRPr="002C22FA">
        <w:t xml:space="preserve"> Computer Science</w:t>
      </w:r>
      <w:r>
        <w:t xml:space="preserve"> </w:t>
      </w:r>
      <w:hyperlink r:id="rId5" w:history="1">
        <w:r w:rsidRPr="001E0966">
          <w:rPr>
            <w:rStyle w:val="Hyperlink"/>
          </w:rPr>
          <w:t>https://pubmed.ncbi.nlm.nih.gov/39650439/</w:t>
        </w:r>
      </w:hyperlink>
      <w:r>
        <w:t xml:space="preserve"> </w:t>
      </w:r>
    </w:p>
    <w:p w14:paraId="1AB85FB2" w14:textId="383A091F" w:rsidR="002C22FA" w:rsidRPr="002C22FA" w:rsidRDefault="002C22FA" w:rsidP="002C22FA"/>
    <w:p w14:paraId="6DBAFB9F" w14:textId="77777777" w:rsidR="002C22FA" w:rsidRPr="002C22FA" w:rsidRDefault="002C22FA" w:rsidP="002C22FA">
      <w:pPr>
        <w:rPr>
          <w:b/>
          <w:bCs/>
        </w:rPr>
      </w:pPr>
      <w:r w:rsidRPr="002C22FA">
        <w:rPr>
          <w:b/>
          <w:bCs/>
        </w:rPr>
        <w:t>1. Summary of Project Pipeline</w:t>
      </w:r>
    </w:p>
    <w:p w14:paraId="3953FFF8" w14:textId="77777777" w:rsidR="002C22FA" w:rsidRPr="002C22FA" w:rsidRDefault="002C22FA" w:rsidP="002C22FA">
      <w:pPr>
        <w:rPr>
          <w:b/>
          <w:bCs/>
        </w:rPr>
      </w:pPr>
      <w:r w:rsidRPr="002C22FA">
        <w:rPr>
          <w:b/>
          <w:bCs/>
        </w:rPr>
        <w:t>Data Preprocessing</w:t>
      </w:r>
    </w:p>
    <w:p w14:paraId="668F94A6" w14:textId="77777777" w:rsidR="002C22FA" w:rsidRPr="002C22FA" w:rsidRDefault="002C22FA" w:rsidP="00086B30">
      <w:pPr>
        <w:ind w:firstLine="720"/>
      </w:pPr>
      <w:r w:rsidRPr="002C22FA">
        <w:t xml:space="preserve">Kumar and Kumar (2024) developed an end-to-end machine learning (ML) system for predicting chronic kidney disease (CKD) using a structured medical dataset. Their preprocessing pipeline addressed </w:t>
      </w:r>
      <w:r w:rsidRPr="002C22FA">
        <w:rPr>
          <w:b/>
          <w:bCs/>
        </w:rPr>
        <w:t>missing values, inconsistent formats, and outliers</w:t>
      </w:r>
      <w:r w:rsidRPr="002C22FA">
        <w:t xml:space="preserve">, ensuring data quality before modeling. Because CKD datasets often contain </w:t>
      </w:r>
      <w:r w:rsidRPr="002C22FA">
        <w:rPr>
          <w:b/>
          <w:bCs/>
        </w:rPr>
        <w:t>imbalanced class distributions</w:t>
      </w:r>
      <w:r w:rsidRPr="002C22FA">
        <w:t xml:space="preserve">, the authors used </w:t>
      </w:r>
      <w:r w:rsidRPr="002C22FA">
        <w:rPr>
          <w:b/>
          <w:bCs/>
        </w:rPr>
        <w:t>Synthetic Minority Oversampling Technique (SMOTE)</w:t>
      </w:r>
      <w:r w:rsidRPr="002C22FA">
        <w:t xml:space="preserve"> to generate synthetic minority-class samples, reducing the risk of models defaulting to majority-class predictions. Additional steps included </w:t>
      </w:r>
      <w:r w:rsidRPr="002C22FA">
        <w:rPr>
          <w:b/>
          <w:bCs/>
        </w:rPr>
        <w:t>feature standardization</w:t>
      </w:r>
      <w:r w:rsidRPr="002C22FA">
        <w:t>, removal of redundant variables, and statistical checks to confirm data integrity.</w:t>
      </w:r>
    </w:p>
    <w:p w14:paraId="2D46900E" w14:textId="77777777" w:rsidR="002C22FA" w:rsidRPr="002C22FA" w:rsidRDefault="002C22FA" w:rsidP="002C22FA">
      <w:pPr>
        <w:rPr>
          <w:b/>
          <w:bCs/>
        </w:rPr>
      </w:pPr>
      <w:r w:rsidRPr="002C22FA">
        <w:rPr>
          <w:b/>
          <w:bCs/>
        </w:rPr>
        <w:t>Model Choice</w:t>
      </w:r>
    </w:p>
    <w:p w14:paraId="07112435" w14:textId="07EC4873" w:rsidR="002C22FA" w:rsidRPr="002C22FA" w:rsidRDefault="002C22FA" w:rsidP="00086B30">
      <w:pPr>
        <w:ind w:firstLine="720"/>
      </w:pPr>
      <w:r w:rsidRPr="002C22FA">
        <w:t>The authors evaluated a range of supervised algorithms</w:t>
      </w:r>
      <w:r>
        <w:t xml:space="preserve"> such as </w:t>
      </w:r>
      <w:r w:rsidRPr="002C22FA">
        <w:rPr>
          <w:b/>
          <w:bCs/>
        </w:rPr>
        <w:t>Random Forest</w:t>
      </w:r>
      <w:r w:rsidRPr="002C22FA">
        <w:t xml:space="preserve">, </w:t>
      </w:r>
      <w:r w:rsidRPr="002C22FA">
        <w:rPr>
          <w:b/>
          <w:bCs/>
        </w:rPr>
        <w:t>Extra Trees</w:t>
      </w:r>
      <w:r w:rsidRPr="002C22FA">
        <w:t xml:space="preserve">, </w:t>
      </w:r>
      <w:r w:rsidRPr="002C22FA">
        <w:rPr>
          <w:b/>
          <w:bCs/>
        </w:rPr>
        <w:t>Logistic Regression (L2)</w:t>
      </w:r>
      <w:r w:rsidRPr="002C22FA">
        <w:t xml:space="preserve">, and a shallow </w:t>
      </w:r>
      <w:r w:rsidRPr="002C22FA">
        <w:rPr>
          <w:b/>
          <w:bCs/>
        </w:rPr>
        <w:t>Artificial Neural Network</w:t>
      </w:r>
      <w:r w:rsidRPr="002C22FA">
        <w:t>. Their selection reflects a deliberate balance between interpretability and predictive power, a priority in clinical settings. Ensemble methods showed the strongest performance because of their ability to capture nonlinear feature interactions and resist noise (Kumar &amp; Kumar, 2024). Logistic regression served as a transparent baseline, while the ANN enabled comparison against a flexible but less interpretable model class.</w:t>
      </w:r>
    </w:p>
    <w:p w14:paraId="37A6C4CB" w14:textId="77777777" w:rsidR="002C22FA" w:rsidRPr="002C22FA" w:rsidRDefault="002C22FA" w:rsidP="002C22FA">
      <w:pPr>
        <w:rPr>
          <w:b/>
          <w:bCs/>
        </w:rPr>
      </w:pPr>
      <w:r w:rsidRPr="002C22FA">
        <w:rPr>
          <w:b/>
          <w:bCs/>
        </w:rPr>
        <w:t>Validation Techniques</w:t>
      </w:r>
    </w:p>
    <w:p w14:paraId="13D87AC9" w14:textId="77777777" w:rsidR="002C22FA" w:rsidRPr="002C22FA" w:rsidRDefault="002C22FA" w:rsidP="00086B30">
      <w:pPr>
        <w:ind w:firstLine="720"/>
      </w:pPr>
      <w:r w:rsidRPr="002C22FA">
        <w:t xml:space="preserve">To ensure model generalizability, Kumar and Kumar (2024) used </w:t>
      </w:r>
      <w:r w:rsidRPr="002C22FA">
        <w:rPr>
          <w:b/>
          <w:bCs/>
        </w:rPr>
        <w:t>k-fold cross-validation</w:t>
      </w:r>
      <w:r w:rsidRPr="002C22FA">
        <w:t xml:space="preserve"> combined with </w:t>
      </w:r>
      <w:proofErr w:type="spellStart"/>
      <w:r w:rsidRPr="002C22FA">
        <w:rPr>
          <w:b/>
          <w:bCs/>
        </w:rPr>
        <w:t>GridSearchCV</w:t>
      </w:r>
      <w:proofErr w:type="spellEnd"/>
      <w:r w:rsidRPr="002C22FA">
        <w:t xml:space="preserve"> for hyperparameter optimization. This method systematically explores parameter combinations and reduces overfitting risk by evaluating performance across multiple partitions. Such rigorous validation aligns with accepted practices for building trustworthy clinical ML systems.</w:t>
      </w:r>
    </w:p>
    <w:p w14:paraId="72EB3F18" w14:textId="77777777" w:rsidR="002C22FA" w:rsidRPr="002C22FA" w:rsidRDefault="002C22FA" w:rsidP="002C22FA">
      <w:pPr>
        <w:rPr>
          <w:b/>
          <w:bCs/>
        </w:rPr>
      </w:pPr>
      <w:r w:rsidRPr="002C22FA">
        <w:rPr>
          <w:b/>
          <w:bCs/>
        </w:rPr>
        <w:t>Performance Metrics</w:t>
      </w:r>
    </w:p>
    <w:p w14:paraId="45E05FE6" w14:textId="715211C6" w:rsidR="002C22FA" w:rsidRPr="002C22FA" w:rsidRDefault="002C22FA" w:rsidP="00086B30">
      <w:pPr>
        <w:ind w:firstLine="720"/>
      </w:pPr>
      <w:r w:rsidRPr="002C22FA">
        <w:t xml:space="preserve">Given the life-critical nature of medical diagnostics, the project reported several complementary metrics: </w:t>
      </w:r>
      <w:r w:rsidRPr="002C22FA">
        <w:rPr>
          <w:b/>
          <w:bCs/>
        </w:rPr>
        <w:t>accuracy</w:t>
      </w:r>
      <w:r w:rsidRPr="002C22FA">
        <w:t xml:space="preserve">, </w:t>
      </w:r>
      <w:r w:rsidRPr="002C22FA">
        <w:rPr>
          <w:b/>
          <w:bCs/>
        </w:rPr>
        <w:t>precision</w:t>
      </w:r>
      <w:r w:rsidRPr="002C22FA">
        <w:t xml:space="preserve">, </w:t>
      </w:r>
      <w:r w:rsidRPr="002C22FA">
        <w:rPr>
          <w:b/>
          <w:bCs/>
        </w:rPr>
        <w:t>recall</w:t>
      </w:r>
      <w:r w:rsidRPr="002C22FA">
        <w:t xml:space="preserve">, </w:t>
      </w:r>
      <w:r w:rsidRPr="002C22FA">
        <w:rPr>
          <w:b/>
          <w:bCs/>
        </w:rPr>
        <w:t>F1-score</w:t>
      </w:r>
      <w:r w:rsidRPr="002C22FA">
        <w:t xml:space="preserve">, and </w:t>
      </w:r>
      <w:r w:rsidRPr="002C22FA">
        <w:rPr>
          <w:b/>
          <w:bCs/>
        </w:rPr>
        <w:t>AUC-ROC</w:t>
      </w:r>
      <w:r w:rsidRPr="002C22FA">
        <w:t xml:space="preserve">. Ensemble models achieved the strongest AUC and F1 results, making them the preferred classifiers. </w:t>
      </w:r>
      <w:r w:rsidRPr="002C22FA">
        <w:lastRenderedPageBreak/>
        <w:t xml:space="preserve">Importantly, the authors prioritized </w:t>
      </w:r>
      <w:r w:rsidRPr="002C22FA">
        <w:rPr>
          <w:b/>
          <w:bCs/>
        </w:rPr>
        <w:t>recall and F1</w:t>
      </w:r>
      <w:r w:rsidRPr="002C22FA">
        <w:t xml:space="preserve"> over accuracy</w:t>
      </w:r>
      <w:r>
        <w:t xml:space="preserve">, </w:t>
      </w:r>
      <w:r w:rsidRPr="002C22FA">
        <w:t>an appropriate choice for imbalanced medical datasets where false negatives can have severe consequences (Kumar &amp; Kumar, 2024).</w:t>
      </w:r>
    </w:p>
    <w:p w14:paraId="4BCBCED9" w14:textId="77777777" w:rsidR="002C22FA" w:rsidRPr="002C22FA" w:rsidRDefault="002C22FA" w:rsidP="002C22FA">
      <w:pPr>
        <w:rPr>
          <w:b/>
          <w:bCs/>
        </w:rPr>
      </w:pPr>
      <w:r w:rsidRPr="002C22FA">
        <w:rPr>
          <w:b/>
          <w:bCs/>
        </w:rPr>
        <w:t>Ethical Safeguards</w:t>
      </w:r>
    </w:p>
    <w:p w14:paraId="64CB41EE" w14:textId="77777777" w:rsidR="002C22FA" w:rsidRPr="002C22FA" w:rsidRDefault="002C22FA" w:rsidP="00086B30">
      <w:pPr>
        <w:ind w:firstLine="720"/>
      </w:pPr>
      <w:r w:rsidRPr="002C22FA">
        <w:t xml:space="preserve">The project incorporated ethical and responsible-AI features by applying </w:t>
      </w:r>
      <w:r w:rsidRPr="002C22FA">
        <w:rPr>
          <w:b/>
          <w:bCs/>
        </w:rPr>
        <w:t>explainable AI (XAI)</w:t>
      </w:r>
      <w:r w:rsidRPr="002C22FA">
        <w:t xml:space="preserve"> techniques, including </w:t>
      </w:r>
      <w:r w:rsidRPr="002C22FA">
        <w:rPr>
          <w:b/>
          <w:bCs/>
        </w:rPr>
        <w:t>SHAP</w:t>
      </w:r>
      <w:r w:rsidRPr="002C22FA">
        <w:t xml:space="preserve"> and </w:t>
      </w:r>
      <w:r w:rsidRPr="002C22FA">
        <w:rPr>
          <w:b/>
          <w:bCs/>
        </w:rPr>
        <w:t>LIME</w:t>
      </w:r>
      <w:r w:rsidRPr="002C22FA">
        <w:t>, to interpret predictions and feature influences. These tools enabled clinicians to understand why the model flagged a patient as high risk, promoting transparency and trust (Kumar &amp; Kumar, 2024). The use of SMOTE also served as a fairness safeguard by mitigating class imbalance and reducing structural prediction bias. While the authors referenced privacy and responsible use, their ethical treatment did not include full governance frameworks such as model cards or formal harm assessments.</w:t>
      </w:r>
    </w:p>
    <w:p w14:paraId="64AD4543" w14:textId="77777777" w:rsidR="002C22FA" w:rsidRPr="002C22FA" w:rsidRDefault="002C22FA" w:rsidP="002C22FA">
      <w:pPr>
        <w:rPr>
          <w:b/>
          <w:bCs/>
        </w:rPr>
      </w:pPr>
      <w:r w:rsidRPr="002C22FA">
        <w:rPr>
          <w:b/>
          <w:bCs/>
        </w:rPr>
        <w:t>Post-Deployment Plan</w:t>
      </w:r>
    </w:p>
    <w:p w14:paraId="50D316D9" w14:textId="0C9E2FF8" w:rsidR="002C22FA" w:rsidRPr="002C22FA" w:rsidRDefault="002C22FA" w:rsidP="00086B30">
      <w:pPr>
        <w:ind w:firstLine="720"/>
      </w:pPr>
      <w:r w:rsidRPr="002C22FA">
        <w:t xml:space="preserve">The authors integrated the final model into a </w:t>
      </w:r>
      <w:r w:rsidRPr="002C22FA">
        <w:rPr>
          <w:b/>
          <w:bCs/>
        </w:rPr>
        <w:t>real-time CKD prediction interface</w:t>
      </w:r>
      <w:r w:rsidRPr="002C22FA">
        <w:t xml:space="preserve">. They also recommended post-deployment strategies such as </w:t>
      </w:r>
      <w:r w:rsidRPr="002C22FA">
        <w:rPr>
          <w:b/>
          <w:bCs/>
        </w:rPr>
        <w:t>continuous performance monitoring</w:t>
      </w:r>
      <w:r w:rsidRPr="002C22FA">
        <w:t xml:space="preserve">, </w:t>
      </w:r>
      <w:r w:rsidRPr="002C22FA">
        <w:rPr>
          <w:b/>
          <w:bCs/>
        </w:rPr>
        <w:t>periodic retraining</w:t>
      </w:r>
      <w:r w:rsidRPr="002C22FA">
        <w:t>, and clinician oversight to ensure reliability as populations and clinical workflows evolve (Kumar &amp; Kumar, 2024). These recommendations acknowledge that ML systems degrade over time due to concept drift and require ongoing lifecycle management.</w:t>
      </w:r>
    </w:p>
    <w:p w14:paraId="4D206B6E" w14:textId="77777777" w:rsidR="002C22FA" w:rsidRPr="002C22FA" w:rsidRDefault="002C22FA" w:rsidP="002C22FA">
      <w:pPr>
        <w:rPr>
          <w:b/>
          <w:bCs/>
        </w:rPr>
      </w:pPr>
      <w:r w:rsidRPr="002C22FA">
        <w:rPr>
          <w:b/>
          <w:bCs/>
        </w:rPr>
        <w:t>2. Alignment With Recommended Course Practices</w:t>
      </w:r>
    </w:p>
    <w:p w14:paraId="6FC64AAD" w14:textId="77777777" w:rsidR="002C22FA" w:rsidRPr="002C22FA" w:rsidRDefault="002C22FA" w:rsidP="002C22FA">
      <w:pPr>
        <w:rPr>
          <w:b/>
          <w:bCs/>
        </w:rPr>
      </w:pPr>
      <w:r w:rsidRPr="002C22FA">
        <w:rPr>
          <w:b/>
          <w:bCs/>
        </w:rPr>
        <w:t>Strong Alignment</w:t>
      </w:r>
    </w:p>
    <w:p w14:paraId="252BC862" w14:textId="77777777" w:rsidR="002C22FA" w:rsidRPr="002C22FA" w:rsidRDefault="002C22FA" w:rsidP="002C22FA">
      <w:r w:rsidRPr="002C22FA">
        <w:rPr>
          <w:b/>
          <w:bCs/>
        </w:rPr>
        <w:t>a. Robust Data Preprocessing</w:t>
      </w:r>
      <w:r w:rsidRPr="002C22FA">
        <w:br/>
        <w:t>The approach to cleaning, balancing, and standardizing data aligns with the course’s emphasis on preparing datasets that are representative, fair, and high-quality before model development.</w:t>
      </w:r>
    </w:p>
    <w:p w14:paraId="1BB3230F" w14:textId="77777777" w:rsidR="002C22FA" w:rsidRPr="002C22FA" w:rsidRDefault="002C22FA" w:rsidP="002C22FA">
      <w:r w:rsidRPr="002C22FA">
        <w:rPr>
          <w:b/>
          <w:bCs/>
        </w:rPr>
        <w:t>b. Multiple Baseline and Advanced Models</w:t>
      </w:r>
      <w:r w:rsidRPr="002C22FA">
        <w:br/>
        <w:t>Testing simple models (Logistic Regression) alongside complex ensembles follows best practices taught in class, which stress comparing interpretability, generalizability, and model complexity.</w:t>
      </w:r>
    </w:p>
    <w:p w14:paraId="4254A68E" w14:textId="77777777" w:rsidR="002C22FA" w:rsidRPr="002C22FA" w:rsidRDefault="002C22FA" w:rsidP="002C22FA">
      <w:r w:rsidRPr="002C22FA">
        <w:rPr>
          <w:b/>
          <w:bCs/>
        </w:rPr>
        <w:t>c. Rigorous Validation</w:t>
      </w:r>
      <w:r w:rsidRPr="002C22FA">
        <w:br/>
        <w:t>The use of cross-validation with structured hyperparameter tuning is fully aligned with course recommendations for avoiding overfitting and ensuring robust performance estimates.</w:t>
      </w:r>
    </w:p>
    <w:p w14:paraId="44866097" w14:textId="77777777" w:rsidR="002C22FA" w:rsidRPr="002C22FA" w:rsidRDefault="002C22FA" w:rsidP="002C22FA">
      <w:r w:rsidRPr="002C22FA">
        <w:rPr>
          <w:b/>
          <w:bCs/>
        </w:rPr>
        <w:lastRenderedPageBreak/>
        <w:t>d. Responsible AI and Explainability</w:t>
      </w:r>
      <w:r w:rsidRPr="002C22FA">
        <w:br/>
        <w:t>The incorporation of SHAP and LIME supports transparency—especially essential in healthcare. Our course materials highlight interpretability as a critical safeguard in high-stakes applications.</w:t>
      </w:r>
    </w:p>
    <w:p w14:paraId="723453E0" w14:textId="77777777" w:rsidR="002C22FA" w:rsidRPr="002C22FA" w:rsidRDefault="002C22FA" w:rsidP="002C22FA">
      <w:r w:rsidRPr="002C22FA">
        <w:rPr>
          <w:b/>
          <w:bCs/>
        </w:rPr>
        <w:t>e. Post-Deployment Monitoring</w:t>
      </w:r>
      <w:r w:rsidRPr="002C22FA">
        <w:br/>
        <w:t>The acknowledgement that ML models require ongoing monitoring and re-training reflects the ML lifecycle model taught in the course.</w:t>
      </w:r>
    </w:p>
    <w:p w14:paraId="5C829C1A" w14:textId="77777777" w:rsidR="002C22FA" w:rsidRPr="002C22FA" w:rsidRDefault="002C22FA" w:rsidP="002C22FA">
      <w:pPr>
        <w:rPr>
          <w:b/>
          <w:bCs/>
        </w:rPr>
      </w:pPr>
      <w:r w:rsidRPr="002C22FA">
        <w:rPr>
          <w:b/>
          <w:bCs/>
        </w:rPr>
        <w:t>Partial Misalignment or Gaps</w:t>
      </w:r>
    </w:p>
    <w:p w14:paraId="19AB88A9" w14:textId="77777777" w:rsidR="002C22FA" w:rsidRPr="002C22FA" w:rsidRDefault="002C22FA" w:rsidP="002C22FA">
      <w:r w:rsidRPr="002C22FA">
        <w:rPr>
          <w:b/>
          <w:bCs/>
        </w:rPr>
        <w:t>a. Lack of Formal Dataset and Model Documentation</w:t>
      </w:r>
      <w:r w:rsidRPr="002C22FA">
        <w:br/>
        <w:t xml:space="preserve">The article does not incorporate </w:t>
      </w:r>
      <w:r w:rsidRPr="002C22FA">
        <w:rPr>
          <w:b/>
          <w:bCs/>
        </w:rPr>
        <w:t>Datasheets for Datasets</w:t>
      </w:r>
      <w:r w:rsidRPr="002C22FA">
        <w:t xml:space="preserve"> (Gebru et al., 2021) or </w:t>
      </w:r>
      <w:r w:rsidRPr="002C22FA">
        <w:rPr>
          <w:b/>
          <w:bCs/>
        </w:rPr>
        <w:t>Model Cards</w:t>
      </w:r>
      <w:r w:rsidRPr="002C22FA">
        <w:t xml:space="preserve"> (Mitchell et al., 2019), which our course identifies as foundational documentation practices for transparency and reproducibility.</w:t>
      </w:r>
    </w:p>
    <w:p w14:paraId="64A66E7E" w14:textId="77777777" w:rsidR="002C22FA" w:rsidRPr="002C22FA" w:rsidRDefault="002C22FA" w:rsidP="002C22FA">
      <w:r w:rsidRPr="002C22FA">
        <w:rPr>
          <w:b/>
          <w:bCs/>
        </w:rPr>
        <w:t>b. Limited Error and Fairness Analysis</w:t>
      </w:r>
      <w:r w:rsidRPr="002C22FA">
        <w:br/>
        <w:t>Although the authors handled class imbalance, they did not conduct subgroup-level analysis (e.g., by age or demographic segments). Course guidelines emphasize targeted error analysis to identify and mitigate potential harms.</w:t>
      </w:r>
    </w:p>
    <w:p w14:paraId="5FE9D354" w14:textId="77777777" w:rsidR="002C22FA" w:rsidRPr="002C22FA" w:rsidRDefault="002C22FA" w:rsidP="002C22FA">
      <w:r w:rsidRPr="002C22FA">
        <w:rPr>
          <w:b/>
          <w:bCs/>
        </w:rPr>
        <w:t>c. Insufficient Governance Framework</w:t>
      </w:r>
      <w:r w:rsidRPr="002C22FA">
        <w:br/>
        <w:t>The article does not offer structured risk assessment, escalation protocols, or decision boundaries governing model use. Our course highlights governance as essential for responsible AI deployment.</w:t>
      </w:r>
    </w:p>
    <w:p w14:paraId="195B0CF2" w14:textId="254FDE93" w:rsidR="002C22FA" w:rsidRPr="002C22FA" w:rsidRDefault="002C22FA" w:rsidP="002C22FA">
      <w:r w:rsidRPr="002C22FA">
        <w:rPr>
          <w:b/>
          <w:bCs/>
        </w:rPr>
        <w:t>d. Limited Stakeholder Inclusion</w:t>
      </w:r>
      <w:r w:rsidRPr="002C22FA">
        <w:br/>
        <w:t>The project does not describe collaboration with clinicians during model design—a gap relative to human-centered ML principles taught in the course.</w:t>
      </w:r>
    </w:p>
    <w:p w14:paraId="550C56E9" w14:textId="062E04F2" w:rsidR="002C22FA" w:rsidRPr="002C22FA" w:rsidRDefault="002C22FA" w:rsidP="002C22FA">
      <w:pPr>
        <w:rPr>
          <w:b/>
          <w:bCs/>
        </w:rPr>
      </w:pPr>
      <w:r w:rsidRPr="002C22FA">
        <w:rPr>
          <w:b/>
          <w:bCs/>
        </w:rPr>
        <w:t xml:space="preserve">3. Insights to Apply (and </w:t>
      </w:r>
      <w:r>
        <w:rPr>
          <w:b/>
          <w:bCs/>
        </w:rPr>
        <w:t>a</w:t>
      </w:r>
      <w:r w:rsidRPr="002C22FA">
        <w:rPr>
          <w:b/>
          <w:bCs/>
        </w:rPr>
        <w:t>void) in Future Work</w:t>
      </w:r>
    </w:p>
    <w:p w14:paraId="556F0EEC" w14:textId="77777777" w:rsidR="002C22FA" w:rsidRPr="002C22FA" w:rsidRDefault="002C22FA" w:rsidP="002C22FA">
      <w:pPr>
        <w:rPr>
          <w:b/>
          <w:bCs/>
        </w:rPr>
      </w:pPr>
      <w:r w:rsidRPr="002C22FA">
        <w:rPr>
          <w:b/>
          <w:bCs/>
        </w:rPr>
        <w:t>Positive Insights to Apply</w:t>
      </w:r>
    </w:p>
    <w:p w14:paraId="209C4B41" w14:textId="77777777" w:rsidR="002C22FA" w:rsidRPr="002C22FA" w:rsidRDefault="002C22FA" w:rsidP="002C22FA">
      <w:pPr>
        <w:numPr>
          <w:ilvl w:val="0"/>
          <w:numId w:val="2"/>
        </w:numPr>
      </w:pPr>
      <w:r w:rsidRPr="002C22FA">
        <w:rPr>
          <w:b/>
          <w:bCs/>
        </w:rPr>
        <w:t>Use diverse evaluation metrics—especially recall, F1, and AUC.</w:t>
      </w:r>
      <w:r w:rsidRPr="002C22FA">
        <w:br/>
        <w:t>The article models good practice by avoiding accuracy as the sole metric in imbalanced data scenarios (Kumar &amp; Kumar, 2024).</w:t>
      </w:r>
    </w:p>
    <w:p w14:paraId="26FFB616" w14:textId="77777777" w:rsidR="002C22FA" w:rsidRPr="002C22FA" w:rsidRDefault="002C22FA" w:rsidP="002C22FA">
      <w:pPr>
        <w:numPr>
          <w:ilvl w:val="0"/>
          <w:numId w:val="2"/>
        </w:numPr>
      </w:pPr>
      <w:r w:rsidRPr="002C22FA">
        <w:rPr>
          <w:b/>
          <w:bCs/>
        </w:rPr>
        <w:t>Leverage explainable AI tools.</w:t>
      </w:r>
      <w:r w:rsidRPr="002C22FA">
        <w:br/>
        <w:t>SHAP and LIME enable domain experts to understand predictions, strengthening real-world applicability.</w:t>
      </w:r>
    </w:p>
    <w:p w14:paraId="3AF929AF" w14:textId="77777777" w:rsidR="002C22FA" w:rsidRPr="002C22FA" w:rsidRDefault="002C22FA" w:rsidP="002C22FA">
      <w:pPr>
        <w:numPr>
          <w:ilvl w:val="0"/>
          <w:numId w:val="2"/>
        </w:numPr>
      </w:pPr>
      <w:r w:rsidRPr="002C22FA">
        <w:rPr>
          <w:b/>
          <w:bCs/>
        </w:rPr>
        <w:lastRenderedPageBreak/>
        <w:t>Integrate hyperparameter tuning into the validation process.</w:t>
      </w:r>
      <w:r w:rsidRPr="002C22FA">
        <w:br/>
        <w:t>Structured tuning ensures evidence-based model selection rather than intuition-driven choices.</w:t>
      </w:r>
    </w:p>
    <w:p w14:paraId="03C0E131" w14:textId="77777777" w:rsidR="002C22FA" w:rsidRPr="002C22FA" w:rsidRDefault="002C22FA" w:rsidP="002C22FA">
      <w:pPr>
        <w:numPr>
          <w:ilvl w:val="0"/>
          <w:numId w:val="2"/>
        </w:numPr>
      </w:pPr>
      <w:r w:rsidRPr="002C22FA">
        <w:rPr>
          <w:b/>
          <w:bCs/>
        </w:rPr>
        <w:t>Plan for deployment early.</w:t>
      </w:r>
      <w:r w:rsidRPr="002C22FA">
        <w:br/>
        <w:t>Developing an interface demonstrates the importance of end-to-end thinking, not just offline modeling.</w:t>
      </w:r>
    </w:p>
    <w:p w14:paraId="198BB446" w14:textId="77777777" w:rsidR="002C22FA" w:rsidRPr="002C22FA" w:rsidRDefault="002C22FA" w:rsidP="002C22FA">
      <w:pPr>
        <w:numPr>
          <w:ilvl w:val="0"/>
          <w:numId w:val="2"/>
        </w:numPr>
      </w:pPr>
      <w:r w:rsidRPr="002C22FA">
        <w:rPr>
          <w:b/>
          <w:bCs/>
        </w:rPr>
        <w:t>Maintain the model as a living system.</w:t>
      </w:r>
      <w:r w:rsidRPr="002C22FA">
        <w:br/>
        <w:t>Monitoring for drift and scheduling retraining are key lifecycle principles applicable across domains.</w:t>
      </w:r>
    </w:p>
    <w:p w14:paraId="1F8F9FFF" w14:textId="77777777" w:rsidR="002C22FA" w:rsidRPr="002C22FA" w:rsidRDefault="002C22FA" w:rsidP="002C22FA">
      <w:pPr>
        <w:rPr>
          <w:b/>
          <w:bCs/>
        </w:rPr>
      </w:pPr>
      <w:r w:rsidRPr="002C22FA">
        <w:rPr>
          <w:b/>
          <w:bCs/>
        </w:rPr>
        <w:t>Practices to Avoid or Improve</w:t>
      </w:r>
    </w:p>
    <w:p w14:paraId="63F9C6D0" w14:textId="77777777" w:rsidR="002C22FA" w:rsidRPr="002C22FA" w:rsidRDefault="002C22FA" w:rsidP="002C22FA">
      <w:pPr>
        <w:numPr>
          <w:ilvl w:val="0"/>
          <w:numId w:val="3"/>
        </w:numPr>
      </w:pPr>
      <w:r w:rsidRPr="002C22FA">
        <w:rPr>
          <w:b/>
          <w:bCs/>
        </w:rPr>
        <w:t>Do not omit fairness or subgroup analysis.</w:t>
      </w:r>
      <w:r w:rsidRPr="002C22FA">
        <w:br/>
        <w:t>Future work should assess whether the model performs equitably across demographic clusters.</w:t>
      </w:r>
    </w:p>
    <w:p w14:paraId="004CF6DA" w14:textId="77777777" w:rsidR="002C22FA" w:rsidRPr="002C22FA" w:rsidRDefault="002C22FA" w:rsidP="002C22FA">
      <w:pPr>
        <w:numPr>
          <w:ilvl w:val="0"/>
          <w:numId w:val="3"/>
        </w:numPr>
      </w:pPr>
      <w:r w:rsidRPr="002C22FA">
        <w:rPr>
          <w:b/>
          <w:bCs/>
        </w:rPr>
        <w:t>Avoid deploying without comprehensive documentation.</w:t>
      </w:r>
      <w:r w:rsidRPr="002C22FA">
        <w:br/>
        <w:t>Datasheets and Model Cards enhance clarity, user trust, and auditing capability.</w:t>
      </w:r>
    </w:p>
    <w:p w14:paraId="23A6C225" w14:textId="77777777" w:rsidR="002C22FA" w:rsidRPr="002C22FA" w:rsidRDefault="002C22FA" w:rsidP="002C22FA">
      <w:pPr>
        <w:numPr>
          <w:ilvl w:val="0"/>
          <w:numId w:val="3"/>
        </w:numPr>
      </w:pPr>
      <w:r w:rsidRPr="002C22FA">
        <w:rPr>
          <w:b/>
          <w:bCs/>
        </w:rPr>
        <w:t>Avoid light-touch governance.</w:t>
      </w:r>
      <w:r w:rsidRPr="002C22FA">
        <w:br/>
        <w:t>A formal risk-mitigation plan—clear thresholds, overrides, and human-in-the-loop requirements—should accompany any clinical model.</w:t>
      </w:r>
    </w:p>
    <w:p w14:paraId="7F71EC52" w14:textId="34A15619" w:rsidR="002C22FA" w:rsidRPr="002C22FA" w:rsidRDefault="002C22FA" w:rsidP="002C22FA">
      <w:pPr>
        <w:numPr>
          <w:ilvl w:val="0"/>
          <w:numId w:val="3"/>
        </w:numPr>
      </w:pPr>
      <w:r w:rsidRPr="002C22FA">
        <w:rPr>
          <w:b/>
          <w:bCs/>
        </w:rPr>
        <w:t>Do not overlook stakeholder engagement.</w:t>
      </w:r>
      <w:r w:rsidRPr="002C22FA">
        <w:br/>
        <w:t>Real-world success depends on aligning with clinicians’ workflows and knowledge.</w:t>
      </w:r>
    </w:p>
    <w:p w14:paraId="508410EE" w14:textId="77777777" w:rsidR="002C22FA" w:rsidRPr="002C22FA" w:rsidRDefault="002C22FA" w:rsidP="002C22FA">
      <w:pPr>
        <w:rPr>
          <w:b/>
          <w:bCs/>
        </w:rPr>
      </w:pPr>
      <w:r w:rsidRPr="002C22FA">
        <w:rPr>
          <w:b/>
          <w:bCs/>
        </w:rPr>
        <w:t>Conclusion</w:t>
      </w:r>
    </w:p>
    <w:p w14:paraId="758A6023" w14:textId="77777777" w:rsidR="002C22FA" w:rsidRPr="002C22FA" w:rsidRDefault="002C22FA" w:rsidP="00086B30">
      <w:pPr>
        <w:ind w:firstLine="720"/>
      </w:pPr>
      <w:r w:rsidRPr="002C22FA">
        <w:t xml:space="preserve">Kumar and Kumar (2024) present a well-structured CKD prediction pipeline demonstrating strong alignment with core ML development and responsible-AI principles, including rigorous preprocessing, thoughtful model comparisons, robust validation, interpretable predictions, and </w:t>
      </w:r>
      <w:proofErr w:type="gramStart"/>
      <w:r w:rsidRPr="002C22FA">
        <w:t>a lifecycle</w:t>
      </w:r>
      <w:proofErr w:type="gramEnd"/>
      <w:r w:rsidRPr="002C22FA">
        <w:t>-aware deployment strategy. However, gaps in fairness analysis, dataset documentation, and governance frameworks illustrate areas where their approach diverges from the more comprehensive standards emphasized in this course. These strengths and limitations offer practical guidance for designing future machine-learning projects that are both technically sound and ethically grounded.</w:t>
      </w:r>
    </w:p>
    <w:p w14:paraId="58970B36" w14:textId="2C70CEAE" w:rsidR="002C22FA" w:rsidRPr="002C22FA" w:rsidRDefault="002C22FA" w:rsidP="002C22FA"/>
    <w:p w14:paraId="3595F10E" w14:textId="678F1C5B" w:rsidR="002C22FA" w:rsidRPr="00086B30" w:rsidRDefault="002C22FA" w:rsidP="002C22FA">
      <w:pPr>
        <w:rPr>
          <w:b/>
          <w:bCs/>
          <w:lang w:val="de-DE"/>
        </w:rPr>
      </w:pPr>
      <w:r w:rsidRPr="00086B30">
        <w:rPr>
          <w:b/>
          <w:bCs/>
          <w:lang w:val="de-DE"/>
        </w:rPr>
        <w:t xml:space="preserve">References </w:t>
      </w:r>
    </w:p>
    <w:p w14:paraId="544D8924" w14:textId="77777777" w:rsidR="002C22FA" w:rsidRPr="002C22FA" w:rsidRDefault="002C22FA" w:rsidP="002C22FA">
      <w:r w:rsidRPr="002C22FA">
        <w:rPr>
          <w:lang w:val="de-DE"/>
        </w:rPr>
        <w:lastRenderedPageBreak/>
        <w:t xml:space="preserve">Gebru, T., Morgenstern, J., </w:t>
      </w:r>
      <w:proofErr w:type="spellStart"/>
      <w:r w:rsidRPr="002C22FA">
        <w:rPr>
          <w:lang w:val="de-DE"/>
        </w:rPr>
        <w:t>Vecchione</w:t>
      </w:r>
      <w:proofErr w:type="spellEnd"/>
      <w:r w:rsidRPr="002C22FA">
        <w:rPr>
          <w:lang w:val="de-DE"/>
        </w:rPr>
        <w:t xml:space="preserve">, B., Vaughan, J. W., Wallach, H., </w:t>
      </w:r>
      <w:proofErr w:type="spellStart"/>
      <w:r w:rsidRPr="002C22FA">
        <w:rPr>
          <w:lang w:val="de-DE"/>
        </w:rPr>
        <w:t>Daumé</w:t>
      </w:r>
      <w:proofErr w:type="spellEnd"/>
      <w:r w:rsidRPr="002C22FA">
        <w:rPr>
          <w:lang w:val="de-DE"/>
        </w:rPr>
        <w:t xml:space="preserve"> III, H., &amp; Crawford, K. (2021). </w:t>
      </w:r>
      <w:r w:rsidRPr="002C22FA">
        <w:rPr>
          <w:i/>
          <w:iCs/>
        </w:rPr>
        <w:t>Datasheets for datasets</w:t>
      </w:r>
      <w:r w:rsidRPr="002C22FA">
        <w:t>. Communications of the ACM, 64(12), 86–92.</w:t>
      </w:r>
    </w:p>
    <w:p w14:paraId="3D9308DD" w14:textId="77777777" w:rsidR="002C22FA" w:rsidRPr="002C22FA" w:rsidRDefault="002C22FA" w:rsidP="002C22FA">
      <w:r w:rsidRPr="002C22FA">
        <w:t xml:space="preserve">Kumar, R., &amp; Kumar, S. (2024). Enhancing machine learning–based forecasting of chronic renal disease with explainable AI. </w:t>
      </w:r>
      <w:proofErr w:type="spellStart"/>
      <w:r w:rsidRPr="002C22FA">
        <w:rPr>
          <w:i/>
          <w:iCs/>
        </w:rPr>
        <w:t>PeerJ</w:t>
      </w:r>
      <w:proofErr w:type="spellEnd"/>
      <w:r w:rsidRPr="002C22FA">
        <w:rPr>
          <w:i/>
          <w:iCs/>
        </w:rPr>
        <w:t xml:space="preserve"> Computer Science</w:t>
      </w:r>
      <w:r w:rsidRPr="002C22FA">
        <w:t>.</w:t>
      </w:r>
    </w:p>
    <w:p w14:paraId="4CC7D782" w14:textId="77777777" w:rsidR="002C22FA" w:rsidRPr="002C22FA" w:rsidRDefault="002C22FA" w:rsidP="002C22FA">
      <w:r w:rsidRPr="002C22FA">
        <w:t xml:space="preserve">Mitchell, M., Wu, S., Zaldivar, A., Barnes, P., Vasserman, L., Hutchinson, B., … Gebru, T. (2019). </w:t>
      </w:r>
      <w:r w:rsidRPr="002C22FA">
        <w:rPr>
          <w:i/>
          <w:iCs/>
        </w:rPr>
        <w:t>Model cards for model reporting</w:t>
      </w:r>
      <w:r w:rsidRPr="002C22FA">
        <w:t>. Proceedings of the Conference on Fairness, Accountability, and Transparency.</w:t>
      </w:r>
    </w:p>
    <w:p w14:paraId="7C1BD2E0" w14:textId="77777777" w:rsidR="002C22FA" w:rsidRDefault="002C22FA" w:rsidP="00E80D92"/>
    <w:sectPr w:rsidR="002C2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AF9"/>
    <w:multiLevelType w:val="multilevel"/>
    <w:tmpl w:val="373E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B58C9"/>
    <w:multiLevelType w:val="multilevel"/>
    <w:tmpl w:val="E39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1757D"/>
    <w:multiLevelType w:val="multilevel"/>
    <w:tmpl w:val="3F0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27756">
    <w:abstractNumId w:val="1"/>
  </w:num>
  <w:num w:numId="2" w16cid:durableId="1316881524">
    <w:abstractNumId w:val="2"/>
  </w:num>
  <w:num w:numId="3" w16cid:durableId="102729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D92"/>
    <w:rsid w:val="00044D76"/>
    <w:rsid w:val="00086B30"/>
    <w:rsid w:val="000E326C"/>
    <w:rsid w:val="00134B56"/>
    <w:rsid w:val="0021159C"/>
    <w:rsid w:val="002C22FA"/>
    <w:rsid w:val="002E6D64"/>
    <w:rsid w:val="004E3122"/>
    <w:rsid w:val="0055637C"/>
    <w:rsid w:val="006309D8"/>
    <w:rsid w:val="008F44A2"/>
    <w:rsid w:val="009F3F32"/>
    <w:rsid w:val="00A214D3"/>
    <w:rsid w:val="00E80D92"/>
    <w:rsid w:val="00FE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7E72"/>
  <w15:chartTrackingRefBased/>
  <w15:docId w15:val="{E4B1B890-FEB9-443A-88F7-F07ACA17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D92"/>
    <w:rPr>
      <w:rFonts w:eastAsiaTheme="majorEastAsia" w:cstheme="majorBidi"/>
      <w:color w:val="272727" w:themeColor="text1" w:themeTint="D8"/>
    </w:rPr>
  </w:style>
  <w:style w:type="paragraph" w:styleId="Title">
    <w:name w:val="Title"/>
    <w:basedOn w:val="Normal"/>
    <w:next w:val="Normal"/>
    <w:link w:val="TitleChar"/>
    <w:uiPriority w:val="10"/>
    <w:qFormat/>
    <w:rsid w:val="00E80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D92"/>
    <w:pPr>
      <w:spacing w:before="160"/>
      <w:jc w:val="center"/>
    </w:pPr>
    <w:rPr>
      <w:i/>
      <w:iCs/>
      <w:color w:val="404040" w:themeColor="text1" w:themeTint="BF"/>
    </w:rPr>
  </w:style>
  <w:style w:type="character" w:customStyle="1" w:styleId="QuoteChar">
    <w:name w:val="Quote Char"/>
    <w:basedOn w:val="DefaultParagraphFont"/>
    <w:link w:val="Quote"/>
    <w:uiPriority w:val="29"/>
    <w:rsid w:val="00E80D92"/>
    <w:rPr>
      <w:i/>
      <w:iCs/>
      <w:color w:val="404040" w:themeColor="text1" w:themeTint="BF"/>
    </w:rPr>
  </w:style>
  <w:style w:type="paragraph" w:styleId="ListParagraph">
    <w:name w:val="List Paragraph"/>
    <w:basedOn w:val="Normal"/>
    <w:uiPriority w:val="34"/>
    <w:qFormat/>
    <w:rsid w:val="00E80D92"/>
    <w:pPr>
      <w:ind w:left="720"/>
      <w:contextualSpacing/>
    </w:pPr>
  </w:style>
  <w:style w:type="character" w:styleId="IntenseEmphasis">
    <w:name w:val="Intense Emphasis"/>
    <w:basedOn w:val="DefaultParagraphFont"/>
    <w:uiPriority w:val="21"/>
    <w:qFormat/>
    <w:rsid w:val="00E80D92"/>
    <w:rPr>
      <w:i/>
      <w:iCs/>
      <w:color w:val="0F4761" w:themeColor="accent1" w:themeShade="BF"/>
    </w:rPr>
  </w:style>
  <w:style w:type="paragraph" w:styleId="IntenseQuote">
    <w:name w:val="Intense Quote"/>
    <w:basedOn w:val="Normal"/>
    <w:next w:val="Normal"/>
    <w:link w:val="IntenseQuoteChar"/>
    <w:uiPriority w:val="30"/>
    <w:qFormat/>
    <w:rsid w:val="00E80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D92"/>
    <w:rPr>
      <w:i/>
      <w:iCs/>
      <w:color w:val="0F4761" w:themeColor="accent1" w:themeShade="BF"/>
    </w:rPr>
  </w:style>
  <w:style w:type="character" w:styleId="IntenseReference">
    <w:name w:val="Intense Reference"/>
    <w:basedOn w:val="DefaultParagraphFont"/>
    <w:uiPriority w:val="32"/>
    <w:qFormat/>
    <w:rsid w:val="00E80D92"/>
    <w:rPr>
      <w:b/>
      <w:bCs/>
      <w:smallCaps/>
      <w:color w:val="0F4761" w:themeColor="accent1" w:themeShade="BF"/>
      <w:spacing w:val="5"/>
    </w:rPr>
  </w:style>
  <w:style w:type="character" w:styleId="Hyperlink">
    <w:name w:val="Hyperlink"/>
    <w:basedOn w:val="DefaultParagraphFont"/>
    <w:uiPriority w:val="99"/>
    <w:unhideWhenUsed/>
    <w:rsid w:val="002C22FA"/>
    <w:rPr>
      <w:color w:val="467886" w:themeColor="hyperlink"/>
      <w:u w:val="single"/>
    </w:rPr>
  </w:style>
  <w:style w:type="character" w:styleId="UnresolvedMention">
    <w:name w:val="Unresolved Mention"/>
    <w:basedOn w:val="DefaultParagraphFont"/>
    <w:uiPriority w:val="99"/>
    <w:semiHidden/>
    <w:unhideWhenUsed/>
    <w:rsid w:val="002C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3965043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5</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Durowoju</dc:creator>
  <cp:keywords/>
  <dc:description/>
  <cp:lastModifiedBy>Emmanuel Durowoju</cp:lastModifiedBy>
  <cp:revision>2</cp:revision>
  <dcterms:created xsi:type="dcterms:W3CDTF">2025-12-04T00:00:00Z</dcterms:created>
  <dcterms:modified xsi:type="dcterms:W3CDTF">2025-12-04T23:27:00Z</dcterms:modified>
</cp:coreProperties>
</file>