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今天吃什么项目zotero人机交互文献总结"/>
    <w:p>
      <w:pPr>
        <w:pStyle w:val="Heading1"/>
      </w:pPr>
      <w:r>
        <w:t>“今天吃什么”项目：文献总结</w:t>
      </w:r>
    </w:p>
    <w:p>
      <w:pPr>
        <w:pStyle w:val="FirstParagraph"/>
      </w:pPr>
      <w:r>
        <w:t>整理日期：2026 年 9 月 29 日</w:t>
      </w:r>
      <w:r>
        <w:br/>
      </w:r>
      <w:r>
        <w:t>用途：南京大学《人机交互课程》小组项目的前期文献阅读与问题界定</w:t>
      </w:r>
      <w:r>
        <w:br/>
      </w:r>
      <w:r>
        <w:t>来源：前期收集的 11 项文献；书目信息见同目录索引。</w:t>
      </w:r>
    </w:p>
    <w:bookmarkStart w:id="20" w:name="阅读范围与使用说明"/>
    <w:p>
      <w:pPr>
        <w:pStyle w:val="Heading2"/>
      </w:pPr>
      <w:r>
        <w:t>阅读范围与使用说明</w:t>
      </w:r>
    </w:p>
    <w:p>
      <w:pPr>
        <w:pStyle w:val="FirstParagraph"/>
      </w:pPr>
      <w:r>
        <w:t>本总结依据可获得的文献资料整理：9 篇有 PDF 全文，1 篇有完整网页报道，1 篇仅有题录及摘要。期刊和会议论文重点核对研究问题、方法、结果及局限；两篇长篇博士论文采用定向阅读，阅读摘要或导论、章节结构、相关理论与实证章节、讨论和结论，没有逐页核查全部推导和参考文献。每篇均注明阅读依据。</w:t>
      </w:r>
    </w:p>
    <w:p>
      <w:pPr>
        <w:pStyle w:val="BodyText"/>
      </w:pPr>
      <w:r>
        <w:t>文中的“研究结果”指原文报告的发现；“对项目的启发”是结合“今天吃什么”提出的设计或研究推论，尚不等于经过验证的产品需求。所有页码均指所阅读 PDF 在阅读器中显示的页序，从第 1 页开始，未必等于论文印刷页码。网页和摘要没有 PDF 页码。</w:t>
      </w:r>
    </w:p>
    <w:p>
      <w:pPr>
        <w:pStyle w:val="BodyText"/>
      </w:pPr>
      <w:r>
        <w:t>本总结保留了相互矛盾的证据、摘要与正文的差异以及部分题录问题。同目录的《人机交互文献索引.csv》提供 DOI、公开原文链接和阅读范围。</w:t>
      </w:r>
    </w:p>
    <w:bookmarkEnd w:id="20"/>
    <w:bookmarkStart w:id="21" w:name="一先看整体结论"/>
    <w:p>
      <w:pPr>
        <w:pStyle w:val="Heading2"/>
      </w:pPr>
      <w:r>
        <w:t>一、先看整体结论</w:t>
      </w:r>
    </w:p>
    <w:p>
      <w:pPr>
        <w:pStyle w:val="FirstParagraph"/>
      </w:pPr>
      <w:r>
        <w:t>这组文献支持把“今天吃什么”视为一个值得研究的决策问题，但不足以直接证明“选项太多，所以需要一个随机推荐 App”。更有依据的研究对象包括：用户不清楚当下偏好、难以比较几个各有优缺点的选择、担心选错或后悔，以及不知道何时停止搜索。</w:t>
      </w:r>
    </w:p>
    <w:p>
      <w:pPr>
        <w:pStyle w:val="BodyText"/>
      </w:pPr>
      <w:r>
        <w:t>第一，选择过载有条件。综述 [1] 强调任务难度、选项关系、偏好不确定和决策目标；CHI 实验 [2] 则发现，在其模拟电商场景中，把巧克力选项从 12 个增加到 72 个，并没有明显降低选择满意度。因此，“很多选择”和“很难选择”需要分别测量。</w:t>
      </w:r>
    </w:p>
    <w:p>
      <w:pPr>
        <w:pStyle w:val="BodyText"/>
      </w:pPr>
      <w:r>
        <w:t>第二，过程体验与结果体验需要分开。用户可能觉得比较过程费力，最后仍然满意；也可能很快选完，却不满意或后悔。乳制品研究 [4] 中，不同指标甚至朝不同方向变化。仅用“完成选择的时间”评价产品，容易漏掉实际体验。</w:t>
      </w:r>
    </w:p>
    <w:p>
      <w:pPr>
        <w:pStyle w:val="BodyText"/>
      </w:pPr>
      <w:r>
        <w:t>第三，最终选择不一定来自对所有属性的综合打分。餐馆实验 [5] 发现，约四分之一受访者表现出优先坚持食物质量的决策方式；Yelp 研究 [7] 显示，人们常依据有限信息接受一个足够好的选项。前期研究应追问“什么信息足以让你下单”和“什么条件绝不接受”。</w:t>
      </w:r>
    </w:p>
    <w:p>
      <w:pPr>
        <w:pStyle w:val="BodyText"/>
      </w:pPr>
      <w:r>
        <w:t>第四，这批材料主要研究个人决策。关于多人点菜，报道 [11] 提供了公开表达与私下表达可能影响选择的线索，论文 [9] 也讨论社会评价和后悔，但它们不能证明匿名投票、偏好问卷或多人推荐能改善真实聚餐。这一方向仍需补充原始研究和实地观察。</w:t>
      </w:r>
    </w:p>
    <w:bookmarkEnd w:id="21"/>
    <w:bookmarkStart w:id="22" w:name="二文献一览"/>
    <w:p>
      <w:pPr>
        <w:pStyle w:val="Heading2"/>
        <w:pageBreakBefore/>
      </w:pPr>
      <w:r>
        <w:t>二、文献一览</w:t>
      </w:r>
    </w:p>
    <w:tbl>
      <w:tblPr>
        <w:tblStyle w:val="TableGrid"/>
        <w:tblW w:type="pct" w:w="0.0"/>
        <w:tblLayout w:type="fixed"/>
        <w:tblLook w:firstRow="1" w:lastRow="0" w:firstColumn="0" w:lastColumn="0" w:noHBand="0" w:noVBand="0" w:val="0020"/>
      </w:tblPr>
      <w:tblGrid/>
      <w:tr>
        <w:trPr>
          <w:cantSplit/>
          <w:tblHeader/>
        </w:trPr>
        <w:tc>
          <w:tcPr>
            <w:tcW w:type="dxa" w:w="567"/>
            <w:shd w:fill="EAF0F4"/>
          </w:tcPr>
          <w:p>
            <w:pPr>
              <w:pStyle w:val="Compact"/>
              <w:keepNext/>
              <w:keepLines/>
              <w:spacing w:before="60" w:after="60" w:line="264" w:lineRule="auto"/>
              <w:jc w:val="left"/>
            </w:pPr>
            <w:r>
              <w:rPr>
                <w:b/>
                <w:sz w:val="19"/>
              </w:rPr>
              <w:t>编号</w:t>
            </w:r>
          </w:p>
        </w:tc>
        <w:tc>
          <w:tcPr>
            <w:tcW w:type="dxa" w:w="1984"/>
            <w:shd w:fill="EAF0F4"/>
          </w:tcPr>
          <w:p>
            <w:pPr>
              <w:pStyle w:val="Compact"/>
              <w:keepNext/>
              <w:keepLines/>
              <w:spacing w:before="60" w:after="60" w:line="264" w:lineRule="auto"/>
              <w:jc w:val="left"/>
            </w:pPr>
            <w:r>
              <w:rPr>
                <w:b/>
                <w:sz w:val="19"/>
              </w:rPr>
              <w:t>文献简称</w:t>
            </w:r>
          </w:p>
        </w:tc>
        <w:tc>
          <w:tcPr>
            <w:tcW w:type="dxa" w:w="3458"/>
            <w:shd w:fill="EAF0F4"/>
          </w:tcPr>
          <w:p>
            <w:pPr>
              <w:pStyle w:val="Compact"/>
              <w:keepNext/>
              <w:keepLines/>
              <w:spacing w:before="60" w:after="60" w:line="264" w:lineRule="auto"/>
              <w:jc w:val="left"/>
            </w:pPr>
            <w:r>
              <w:rPr>
                <w:b/>
                <w:sz w:val="19"/>
              </w:rPr>
              <w:t>核心内容</w:t>
            </w:r>
          </w:p>
        </w:tc>
        <w:tc>
          <w:tcPr>
            <w:tcW w:type="dxa" w:w="3515"/>
            <w:shd w:fill="EAF0F4"/>
          </w:tcPr>
          <w:p>
            <w:pPr>
              <w:pStyle w:val="Compact"/>
              <w:keepNext/>
              <w:keepLines/>
              <w:spacing w:before="60" w:after="60" w:line="264" w:lineRule="auto"/>
              <w:jc w:val="left"/>
            </w:pPr>
            <w:r>
              <w:rPr>
                <w:b/>
                <w:sz w:val="19"/>
              </w:rPr>
              <w:t>本次阅读依据</w:t>
            </w:r>
          </w:p>
        </w:tc>
      </w:tr>
      <w:tr>
        <w:trPr>
          <w:cantSplit/>
        </w:trPr>
        <w:tc>
          <w:tcPr>
            <w:tcW w:type="dxa" w:w="567"/>
          </w:tcPr>
          <w:p>
            <w:pPr>
              <w:pStyle w:val="Compact"/>
              <w:keepNext w:val="0"/>
              <w:keepLines/>
              <w:spacing w:before="60" w:after="60" w:line="264" w:lineRule="auto"/>
              <w:jc w:val="left"/>
            </w:pPr>
            <w:r>
              <w:rPr>
                <w:sz w:val="19"/>
              </w:rPr>
              <w:t>[1]</w:t>
            </w:r>
          </w:p>
        </w:tc>
        <w:tc>
          <w:tcPr>
            <w:tcW w:type="dxa" w:w="1984"/>
          </w:tcPr>
          <w:p>
            <w:pPr>
              <w:pStyle w:val="Compact"/>
              <w:keepNext w:val="0"/>
              <w:keepLines/>
              <w:spacing w:before="60" w:after="60" w:line="264" w:lineRule="auto"/>
              <w:jc w:val="left"/>
            </w:pPr>
            <w:r>
              <w:rPr>
                <w:sz w:val="19"/>
              </w:rPr>
              <w:t>Chernev 等，2015</w:t>
            </w:r>
          </w:p>
        </w:tc>
        <w:tc>
          <w:tcPr>
            <w:tcW w:type="dxa" w:w="3458"/>
          </w:tcPr>
          <w:p>
            <w:pPr>
              <w:pStyle w:val="Compact"/>
              <w:keepNext w:val="0"/>
              <w:keepLines/>
              <w:spacing w:before="60" w:after="60" w:line="264" w:lineRule="auto"/>
              <w:jc w:val="left"/>
            </w:pPr>
            <w:r>
              <w:rPr>
                <w:sz w:val="19"/>
              </w:rPr>
              <w:t>选择过载何时发生：四类调节因素</w:t>
            </w:r>
          </w:p>
        </w:tc>
        <w:tc>
          <w:tcPr>
            <w:tcW w:type="dxa" w:w="3515"/>
          </w:tcPr>
          <w:p>
            <w:pPr>
              <w:pStyle w:val="Compact"/>
              <w:keepNext w:val="0"/>
              <w:keepLines/>
              <w:spacing w:before="60" w:after="60" w:line="264" w:lineRule="auto"/>
              <w:jc w:val="left"/>
            </w:pPr>
            <w:r>
              <w:rPr>
                <w:sz w:val="19"/>
              </w:rPr>
              <w:t>26 页 PDF，重点核对理论、方法与结果</w:t>
            </w:r>
          </w:p>
        </w:tc>
      </w:tr>
      <w:tr>
        <w:trPr>
          <w:cantSplit/>
        </w:trPr>
        <w:tc>
          <w:tcPr>
            <w:tcW w:type="dxa" w:w="567"/>
          </w:tcPr>
          <w:p>
            <w:pPr>
              <w:pStyle w:val="Compact"/>
              <w:keepNext w:val="0"/>
              <w:keepLines/>
              <w:spacing w:before="60" w:after="60" w:line="264" w:lineRule="auto"/>
              <w:jc w:val="left"/>
            </w:pPr>
            <w:r>
              <w:rPr>
                <w:sz w:val="19"/>
              </w:rPr>
              <w:t>[2]</w:t>
            </w:r>
          </w:p>
        </w:tc>
        <w:tc>
          <w:tcPr>
            <w:tcW w:type="dxa" w:w="1984"/>
          </w:tcPr>
          <w:p>
            <w:pPr>
              <w:pStyle w:val="Compact"/>
              <w:keepNext w:val="0"/>
              <w:keepLines/>
              <w:spacing w:before="60" w:after="60" w:line="264" w:lineRule="auto"/>
              <w:jc w:val="left"/>
            </w:pPr>
            <w:r>
              <w:rPr>
                <w:sz w:val="19"/>
              </w:rPr>
              <w:t>Moser 等，2017，CHI</w:t>
            </w:r>
          </w:p>
        </w:tc>
        <w:tc>
          <w:tcPr>
            <w:tcW w:type="dxa" w:w="3458"/>
          </w:tcPr>
          <w:p>
            <w:pPr>
              <w:pStyle w:val="Compact"/>
              <w:keepNext w:val="0"/>
              <w:keepLines/>
              <w:spacing w:before="60" w:after="60" w:line="264" w:lineRule="auto"/>
              <w:jc w:val="left"/>
            </w:pPr>
            <w:r>
              <w:rPr>
                <w:sz w:val="19"/>
              </w:rPr>
              <w:t>电商巧克力选择中未发现明显的数量过载效应</w:t>
            </w:r>
          </w:p>
        </w:tc>
        <w:tc>
          <w:tcPr>
            <w:tcW w:type="dxa" w:w="3515"/>
          </w:tcPr>
          <w:p>
            <w:pPr>
              <w:pStyle w:val="Compact"/>
              <w:keepNext w:val="0"/>
              <w:keepLines/>
              <w:spacing w:before="60" w:after="60" w:line="264" w:lineRule="auto"/>
              <w:jc w:val="left"/>
            </w:pPr>
            <w:r>
              <w:rPr>
                <w:sz w:val="19"/>
              </w:rPr>
              <w:t>12 页 PDF，重点核对实验与讨论</w:t>
            </w:r>
          </w:p>
        </w:tc>
      </w:tr>
      <w:tr>
        <w:trPr>
          <w:cantSplit/>
        </w:trPr>
        <w:tc>
          <w:tcPr>
            <w:tcW w:type="dxa" w:w="567"/>
          </w:tcPr>
          <w:p>
            <w:pPr>
              <w:pStyle w:val="Compact"/>
              <w:keepNext w:val="0"/>
              <w:keepLines/>
              <w:spacing w:before="60" w:after="60" w:line="264" w:lineRule="auto"/>
              <w:jc w:val="left"/>
            </w:pPr>
            <w:r>
              <w:rPr>
                <w:sz w:val="19"/>
              </w:rPr>
              <w:t>[3]</w:t>
            </w:r>
          </w:p>
        </w:tc>
        <w:tc>
          <w:tcPr>
            <w:tcW w:type="dxa" w:w="1984"/>
          </w:tcPr>
          <w:p>
            <w:pPr>
              <w:pStyle w:val="Compact"/>
              <w:keepNext w:val="0"/>
              <w:keepLines/>
              <w:spacing w:before="60" w:after="60" w:line="264" w:lineRule="auto"/>
              <w:jc w:val="left"/>
            </w:pPr>
            <w:r>
              <w:rPr>
                <w:sz w:val="19"/>
              </w:rPr>
              <w:t>Johns 等，2013</w:t>
            </w:r>
          </w:p>
        </w:tc>
        <w:tc>
          <w:tcPr>
            <w:tcW w:type="dxa" w:w="3458"/>
          </w:tcPr>
          <w:p>
            <w:pPr>
              <w:pStyle w:val="Compact"/>
              <w:keepNext w:val="0"/>
              <w:keepLines/>
              <w:spacing w:before="60" w:after="60" w:line="264" w:lineRule="auto"/>
              <w:jc w:val="left"/>
            </w:pPr>
            <w:r>
              <w:rPr>
                <w:sz w:val="19"/>
              </w:rPr>
              <w:t>不同餐厅菜单中，受访者认为多少选择“刚好”</w:t>
            </w:r>
          </w:p>
        </w:tc>
        <w:tc>
          <w:tcPr>
            <w:tcW w:type="dxa" w:w="3515"/>
          </w:tcPr>
          <w:p>
            <w:pPr>
              <w:pStyle w:val="Compact"/>
              <w:keepNext w:val="0"/>
              <w:keepLines/>
              <w:spacing w:before="60" w:after="60" w:line="264" w:lineRule="auto"/>
              <w:jc w:val="left"/>
            </w:pPr>
            <w:r>
              <w:rPr>
                <w:sz w:val="19"/>
              </w:rPr>
              <w:t>12 页 PDF，含出版平台封面</w:t>
            </w:r>
          </w:p>
        </w:tc>
      </w:tr>
      <w:tr>
        <w:trPr>
          <w:cantSplit/>
        </w:trPr>
        <w:tc>
          <w:tcPr>
            <w:tcW w:type="dxa" w:w="567"/>
          </w:tcPr>
          <w:p>
            <w:pPr>
              <w:pStyle w:val="Compact"/>
              <w:keepNext w:val="0"/>
              <w:keepLines/>
              <w:spacing w:before="60" w:after="60" w:line="264" w:lineRule="auto"/>
              <w:jc w:val="left"/>
            </w:pPr>
            <w:r>
              <w:rPr>
                <w:sz w:val="19"/>
              </w:rPr>
              <w:t>[4]</w:t>
            </w:r>
          </w:p>
        </w:tc>
        <w:tc>
          <w:tcPr>
            <w:tcW w:type="dxa" w:w="1984"/>
          </w:tcPr>
          <w:p>
            <w:pPr>
              <w:pStyle w:val="Compact"/>
              <w:keepNext w:val="0"/>
              <w:keepLines/>
              <w:spacing w:before="60" w:after="60" w:line="264" w:lineRule="auto"/>
              <w:jc w:val="left"/>
            </w:pPr>
            <w:r>
              <w:rPr>
                <w:sz w:val="19"/>
              </w:rPr>
              <w:t>Liu 等，2025</w:t>
            </w:r>
          </w:p>
        </w:tc>
        <w:tc>
          <w:tcPr>
            <w:tcW w:type="dxa" w:w="3458"/>
          </w:tcPr>
          <w:p>
            <w:pPr>
              <w:pStyle w:val="Compact"/>
              <w:keepNext w:val="0"/>
              <w:keepLines/>
              <w:spacing w:before="60" w:after="60" w:line="264" w:lineRule="auto"/>
              <w:jc w:val="left"/>
            </w:pPr>
            <w:r>
              <w:rPr>
                <w:sz w:val="19"/>
              </w:rPr>
              <w:t>乳制品属性、相似选项与信息提示对决策体验的影响</w:t>
            </w:r>
          </w:p>
        </w:tc>
        <w:tc>
          <w:tcPr>
            <w:tcW w:type="dxa" w:w="3515"/>
          </w:tcPr>
          <w:p>
            <w:pPr>
              <w:pStyle w:val="Compact"/>
              <w:keepNext w:val="0"/>
              <w:keepLines/>
              <w:spacing w:before="60" w:after="60" w:line="264" w:lineRule="auto"/>
              <w:jc w:val="left"/>
            </w:pPr>
            <w:r>
              <w:rPr>
                <w:sz w:val="19"/>
              </w:rPr>
              <w:t>12 页 PDF，核对方法、结果表与局限</w:t>
            </w:r>
          </w:p>
        </w:tc>
      </w:tr>
      <w:tr>
        <w:trPr>
          <w:cantSplit/>
        </w:trPr>
        <w:tc>
          <w:tcPr>
            <w:tcW w:type="dxa" w:w="567"/>
          </w:tcPr>
          <w:p>
            <w:pPr>
              <w:pStyle w:val="Compact"/>
              <w:keepNext w:val="0"/>
              <w:keepLines/>
              <w:spacing w:before="60" w:after="60" w:line="264" w:lineRule="auto"/>
              <w:jc w:val="left"/>
            </w:pPr>
            <w:r>
              <w:rPr>
                <w:sz w:val="19"/>
              </w:rPr>
              <w:t>[5]</w:t>
            </w:r>
          </w:p>
        </w:tc>
        <w:tc>
          <w:tcPr>
            <w:tcW w:type="dxa" w:w="1984"/>
          </w:tcPr>
          <w:p>
            <w:pPr>
              <w:pStyle w:val="Compact"/>
              <w:keepNext w:val="0"/>
              <w:keepLines/>
              <w:spacing w:before="60" w:after="60" w:line="264" w:lineRule="auto"/>
              <w:jc w:val="left"/>
            </w:pPr>
            <w:r>
              <w:rPr>
                <w:sz w:val="19"/>
              </w:rPr>
              <w:t>Jung 等，2015</w:t>
            </w:r>
          </w:p>
        </w:tc>
        <w:tc>
          <w:tcPr>
            <w:tcW w:type="dxa" w:w="3458"/>
          </w:tcPr>
          <w:p>
            <w:pPr>
              <w:pStyle w:val="Compact"/>
              <w:keepNext w:val="0"/>
              <w:keepLines/>
              <w:spacing w:before="60" w:after="60" w:line="264" w:lineRule="auto"/>
              <w:jc w:val="left"/>
            </w:pPr>
            <w:r>
              <w:rPr>
                <w:sz w:val="19"/>
              </w:rPr>
              <w:t>选餐馆时的属性权衡与不可补偿的偏好</w:t>
            </w:r>
          </w:p>
        </w:tc>
        <w:tc>
          <w:tcPr>
            <w:tcW w:type="dxa" w:w="3515"/>
          </w:tcPr>
          <w:p>
            <w:pPr>
              <w:pStyle w:val="Compact"/>
              <w:keepNext w:val="0"/>
              <w:keepLines/>
              <w:spacing w:before="60" w:after="60" w:line="264" w:lineRule="auto"/>
              <w:jc w:val="left"/>
            </w:pPr>
            <w:r>
              <w:rPr>
                <w:sz w:val="19"/>
              </w:rPr>
              <w:t>11 页 PDF，重点核对选择实验</w:t>
            </w:r>
          </w:p>
        </w:tc>
      </w:tr>
      <w:tr>
        <w:trPr>
          <w:cantSplit/>
        </w:trPr>
        <w:tc>
          <w:tcPr>
            <w:tcW w:type="dxa" w:w="567"/>
          </w:tcPr>
          <w:p>
            <w:pPr>
              <w:pStyle w:val="Compact"/>
              <w:keepNext w:val="0"/>
              <w:keepLines/>
              <w:spacing w:before="60" w:after="60" w:line="264" w:lineRule="auto"/>
              <w:jc w:val="left"/>
            </w:pPr>
            <w:r>
              <w:rPr>
                <w:sz w:val="19"/>
              </w:rPr>
              <w:t>[6]</w:t>
            </w:r>
          </w:p>
        </w:tc>
        <w:tc>
          <w:tcPr>
            <w:tcW w:type="dxa" w:w="1984"/>
          </w:tcPr>
          <w:p>
            <w:pPr>
              <w:pStyle w:val="Compact"/>
              <w:keepNext w:val="0"/>
              <w:keepLines/>
              <w:spacing w:before="60" w:after="60" w:line="264" w:lineRule="auto"/>
              <w:jc w:val="left"/>
            </w:pPr>
            <w:r>
              <w:rPr>
                <w:sz w:val="19"/>
              </w:rPr>
              <w:t>Duarte Alonso 等，2013</w:t>
            </w:r>
          </w:p>
        </w:tc>
        <w:tc>
          <w:tcPr>
            <w:tcW w:type="dxa" w:w="3458"/>
          </w:tcPr>
          <w:p>
            <w:pPr>
              <w:pStyle w:val="Compact"/>
              <w:keepNext w:val="0"/>
              <w:keepLines/>
              <w:spacing w:before="60" w:after="60" w:line="264" w:lineRule="auto"/>
              <w:jc w:val="left"/>
            </w:pPr>
            <w:r>
              <w:rPr>
                <w:sz w:val="19"/>
              </w:rPr>
              <w:t>消费者自报的餐馆选择因素</w:t>
            </w:r>
          </w:p>
        </w:tc>
        <w:tc>
          <w:tcPr>
            <w:tcW w:type="dxa" w:w="3515"/>
          </w:tcPr>
          <w:p>
            <w:pPr>
              <w:pStyle w:val="Compact"/>
              <w:keepNext w:val="0"/>
              <w:keepLines/>
              <w:spacing w:before="60" w:after="60" w:line="264" w:lineRule="auto"/>
              <w:jc w:val="left"/>
            </w:pPr>
            <w:r>
              <w:rPr>
                <w:sz w:val="19"/>
              </w:rPr>
              <w:t>仅题录和摘要，未核查全文</w:t>
            </w:r>
          </w:p>
        </w:tc>
      </w:tr>
      <w:tr>
        <w:trPr>
          <w:cantSplit/>
        </w:trPr>
        <w:tc>
          <w:tcPr>
            <w:tcW w:type="dxa" w:w="567"/>
          </w:tcPr>
          <w:p>
            <w:pPr>
              <w:pStyle w:val="Compact"/>
              <w:keepNext w:val="0"/>
              <w:keepLines/>
              <w:spacing w:before="60" w:after="60" w:line="264" w:lineRule="auto"/>
              <w:jc w:val="left"/>
            </w:pPr>
            <w:r>
              <w:rPr>
                <w:sz w:val="19"/>
              </w:rPr>
              <w:t>[7]</w:t>
            </w:r>
          </w:p>
        </w:tc>
        <w:tc>
          <w:tcPr>
            <w:tcW w:type="dxa" w:w="1984"/>
          </w:tcPr>
          <w:p>
            <w:pPr>
              <w:pStyle w:val="Compact"/>
              <w:keepNext w:val="0"/>
              <w:keepLines/>
              <w:spacing w:before="60" w:after="60" w:line="264" w:lineRule="auto"/>
              <w:jc w:val="left"/>
            </w:pPr>
            <w:r>
              <w:rPr>
                <w:sz w:val="19"/>
              </w:rPr>
              <w:t>Wan 与 Nakayama，2025</w:t>
            </w:r>
          </w:p>
        </w:tc>
        <w:tc>
          <w:tcPr>
            <w:tcW w:type="dxa" w:w="3458"/>
          </w:tcPr>
          <w:p>
            <w:pPr>
              <w:pStyle w:val="Compact"/>
              <w:keepNext w:val="0"/>
              <w:keepLines/>
              <w:spacing w:before="60" w:after="60" w:line="264" w:lineRule="auto"/>
              <w:jc w:val="left"/>
            </w:pPr>
            <w:r>
              <w:rPr>
                <w:sz w:val="19"/>
              </w:rPr>
              <w:t>Yelp 中四类餐馆搜索与信息处理模式</w:t>
            </w:r>
          </w:p>
        </w:tc>
        <w:tc>
          <w:tcPr>
            <w:tcW w:type="dxa" w:w="3515"/>
          </w:tcPr>
          <w:p>
            <w:pPr>
              <w:pStyle w:val="Compact"/>
              <w:keepNext w:val="0"/>
              <w:keepLines/>
              <w:spacing w:before="60" w:after="60" w:line="264" w:lineRule="auto"/>
              <w:jc w:val="left"/>
            </w:pPr>
            <w:r>
              <w:rPr>
                <w:sz w:val="19"/>
              </w:rPr>
              <w:t>12 页 PDF，重点核对点击流方法与结果</w:t>
            </w:r>
          </w:p>
        </w:tc>
      </w:tr>
      <w:tr>
        <w:trPr>
          <w:cantSplit/>
        </w:trPr>
        <w:tc>
          <w:tcPr>
            <w:tcW w:type="dxa" w:w="567"/>
          </w:tcPr>
          <w:p>
            <w:pPr>
              <w:pStyle w:val="Compact"/>
              <w:keepNext w:val="0"/>
              <w:keepLines/>
              <w:spacing w:before="60" w:after="60" w:line="264" w:lineRule="auto"/>
              <w:jc w:val="left"/>
            </w:pPr>
            <w:r>
              <w:rPr>
                <w:sz w:val="19"/>
              </w:rPr>
              <w:t>[8]</w:t>
            </w:r>
          </w:p>
        </w:tc>
        <w:tc>
          <w:tcPr>
            <w:tcW w:type="dxa" w:w="1984"/>
          </w:tcPr>
          <w:p>
            <w:pPr>
              <w:pStyle w:val="Compact"/>
              <w:keepNext w:val="0"/>
              <w:keepLines/>
              <w:spacing w:before="60" w:after="60" w:line="264" w:lineRule="auto"/>
              <w:jc w:val="left"/>
            </w:pPr>
            <w:r>
              <w:rPr>
                <w:sz w:val="19"/>
              </w:rPr>
              <w:t>Kruse 等，2024</w:t>
            </w:r>
          </w:p>
        </w:tc>
        <w:tc>
          <w:tcPr>
            <w:tcW w:type="dxa" w:w="3458"/>
          </w:tcPr>
          <w:p>
            <w:pPr>
              <w:pStyle w:val="Compact"/>
              <w:keepNext w:val="0"/>
              <w:keepLines/>
              <w:spacing w:before="60" w:after="60" w:line="264" w:lineRule="auto"/>
              <w:jc w:val="left"/>
            </w:pPr>
            <w:r>
              <w:rPr>
                <w:sz w:val="19"/>
              </w:rPr>
              <w:t>食物图片与抽象属性文本如何改变选择冲突</w:t>
            </w:r>
          </w:p>
        </w:tc>
        <w:tc>
          <w:tcPr>
            <w:tcW w:type="dxa" w:w="3515"/>
          </w:tcPr>
          <w:p>
            <w:pPr>
              <w:pStyle w:val="Compact"/>
              <w:keepNext w:val="0"/>
              <w:keepLines/>
              <w:spacing w:before="60" w:after="60" w:line="264" w:lineRule="auto"/>
              <w:jc w:val="left"/>
            </w:pPr>
            <w:r>
              <w:rPr>
                <w:sz w:val="19"/>
              </w:rPr>
              <w:t>9 页 PDF，重点核对实验、行为与 EEG 结果</w:t>
            </w:r>
          </w:p>
        </w:tc>
      </w:tr>
      <w:tr>
        <w:trPr>
          <w:cantSplit/>
        </w:trPr>
        <w:tc>
          <w:tcPr>
            <w:tcW w:type="dxa" w:w="567"/>
          </w:tcPr>
          <w:p>
            <w:pPr>
              <w:pStyle w:val="Compact"/>
              <w:keepNext w:val="0"/>
              <w:keepLines/>
              <w:spacing w:before="60" w:after="60" w:line="264" w:lineRule="auto"/>
              <w:jc w:val="left"/>
            </w:pPr>
            <w:r>
              <w:rPr>
                <w:sz w:val="19"/>
              </w:rPr>
              <w:t>[9]</w:t>
            </w:r>
          </w:p>
        </w:tc>
        <w:tc>
          <w:tcPr>
            <w:tcW w:type="dxa" w:w="1984"/>
          </w:tcPr>
          <w:p>
            <w:pPr>
              <w:pStyle w:val="Compact"/>
              <w:keepNext w:val="0"/>
              <w:keepLines/>
              <w:spacing w:before="60" w:after="60" w:line="264" w:lineRule="auto"/>
              <w:jc w:val="left"/>
            </w:pPr>
            <w:r>
              <w:rPr>
                <w:sz w:val="19"/>
              </w:rPr>
              <w:t>Biondi，2019，博士论文</w:t>
            </w:r>
          </w:p>
        </w:tc>
        <w:tc>
          <w:tcPr>
            <w:tcW w:type="dxa" w:w="3458"/>
          </w:tcPr>
          <w:p>
            <w:pPr>
              <w:pStyle w:val="Compact"/>
              <w:keepNext w:val="0"/>
              <w:keepLines/>
              <w:spacing w:before="60" w:after="60" w:line="264" w:lineRule="auto"/>
              <w:jc w:val="left"/>
            </w:pPr>
            <w:r>
              <w:rPr>
                <w:sz w:val="19"/>
              </w:rPr>
              <w:t>食品选择中的效用最大化与后悔最小化</w:t>
            </w:r>
          </w:p>
        </w:tc>
        <w:tc>
          <w:tcPr>
            <w:tcW w:type="dxa" w:w="3515"/>
          </w:tcPr>
          <w:p>
            <w:pPr>
              <w:pStyle w:val="Compact"/>
              <w:keepNext w:val="0"/>
              <w:keepLines/>
              <w:spacing w:before="60" w:after="60" w:line="264" w:lineRule="auto"/>
              <w:jc w:val="left"/>
            </w:pPr>
            <w:r>
              <w:rPr>
                <w:sz w:val="19"/>
              </w:rPr>
              <w:t>146 页 PDF，定向阅读理论与实证章节</w:t>
            </w:r>
          </w:p>
        </w:tc>
      </w:tr>
      <w:tr>
        <w:trPr>
          <w:cantSplit/>
        </w:trPr>
        <w:tc>
          <w:tcPr>
            <w:tcW w:type="dxa" w:w="567"/>
          </w:tcPr>
          <w:p>
            <w:pPr>
              <w:pStyle w:val="Compact"/>
              <w:keepNext w:val="0"/>
              <w:keepLines/>
              <w:spacing w:before="60" w:after="60" w:line="264" w:lineRule="auto"/>
              <w:jc w:val="left"/>
            </w:pPr>
            <w:r>
              <w:rPr>
                <w:sz w:val="19"/>
              </w:rPr>
              <w:t>[10]</w:t>
            </w:r>
          </w:p>
        </w:tc>
        <w:tc>
          <w:tcPr>
            <w:tcW w:type="dxa" w:w="1984"/>
          </w:tcPr>
          <w:p>
            <w:pPr>
              <w:pStyle w:val="Compact"/>
              <w:keepNext w:val="0"/>
              <w:keepLines/>
              <w:spacing w:before="60" w:after="60" w:line="264" w:lineRule="auto"/>
              <w:jc w:val="left"/>
            </w:pPr>
            <w:r>
              <w:rPr>
                <w:sz w:val="19"/>
              </w:rPr>
              <w:t>Leportier，2023，博士论文</w:t>
            </w:r>
          </w:p>
        </w:tc>
        <w:tc>
          <w:tcPr>
            <w:tcW w:type="dxa" w:w="3458"/>
          </w:tcPr>
          <w:p>
            <w:pPr>
              <w:pStyle w:val="Compact"/>
              <w:keepNext w:val="0"/>
              <w:keepLines/>
              <w:spacing w:before="60" w:after="60" w:line="264" w:lineRule="auto"/>
              <w:jc w:val="left"/>
            </w:pPr>
            <w:r>
              <w:rPr>
                <w:sz w:val="19"/>
              </w:rPr>
              <w:t>自由、承诺与“选择不再选择”的价值</w:t>
            </w:r>
          </w:p>
        </w:tc>
        <w:tc>
          <w:tcPr>
            <w:tcW w:type="dxa" w:w="3515"/>
          </w:tcPr>
          <w:p>
            <w:pPr>
              <w:pStyle w:val="Compact"/>
              <w:keepNext w:val="0"/>
              <w:keepLines/>
              <w:spacing w:before="60" w:after="60" w:line="264" w:lineRule="auto"/>
              <w:jc w:val="left"/>
            </w:pPr>
            <w:r>
              <w:rPr>
                <w:sz w:val="19"/>
              </w:rPr>
              <w:t>237 页 PDF，定向阅读导论、相关章节与结论</w:t>
            </w:r>
          </w:p>
        </w:tc>
      </w:tr>
      <w:tr>
        <w:trPr>
          <w:cantSplit/>
        </w:trPr>
        <w:tc>
          <w:tcPr>
            <w:tcW w:type="dxa" w:w="567"/>
          </w:tcPr>
          <w:p>
            <w:pPr>
              <w:pStyle w:val="Compact"/>
              <w:keepNext w:val="0"/>
              <w:keepLines/>
              <w:spacing w:before="60" w:after="60" w:line="264" w:lineRule="auto"/>
              <w:jc w:val="left"/>
            </w:pPr>
            <w:r>
              <w:rPr>
                <w:sz w:val="19"/>
              </w:rPr>
              <w:t>[11]</w:t>
            </w:r>
          </w:p>
        </w:tc>
        <w:tc>
          <w:tcPr>
            <w:tcW w:type="dxa" w:w="1984"/>
          </w:tcPr>
          <w:p>
            <w:pPr>
              <w:pStyle w:val="Compact"/>
              <w:keepNext w:val="0"/>
              <w:keepLines/>
              <w:spacing w:before="60" w:after="60" w:line="264" w:lineRule="auto"/>
              <w:jc w:val="left"/>
            </w:pPr>
            <w:r>
              <w:rPr>
                <w:sz w:val="19"/>
              </w:rPr>
              <w:t>Kincannon，2015，APS Observer</w:t>
            </w:r>
          </w:p>
        </w:tc>
        <w:tc>
          <w:tcPr>
            <w:tcW w:type="dxa" w:w="3458"/>
          </w:tcPr>
          <w:p>
            <w:pPr>
              <w:pStyle w:val="Compact"/>
              <w:keepNext w:val="0"/>
              <w:keepLines/>
              <w:spacing w:before="60" w:after="60" w:line="264" w:lineRule="auto"/>
              <w:jc w:val="left"/>
            </w:pPr>
            <w:r>
              <w:rPr>
                <w:sz w:val="19"/>
              </w:rPr>
              <w:t>关于选择的会议报道，涉及公开与私下点菜</w:t>
            </w:r>
          </w:p>
        </w:tc>
        <w:tc>
          <w:tcPr>
            <w:tcW w:type="dxa" w:w="3515"/>
          </w:tcPr>
          <w:p>
            <w:pPr>
              <w:pStyle w:val="Compact"/>
              <w:keepNext w:val="0"/>
              <w:keepLines/>
              <w:spacing w:before="60" w:after="60" w:line="264" w:lineRule="auto"/>
              <w:jc w:val="left"/>
            </w:pPr>
            <w:r>
              <w:rPr>
                <w:sz w:val="19"/>
              </w:rPr>
              <w:t>完整网页正文；属于二手报道</w:t>
            </w:r>
          </w:p>
        </w:tc>
      </w:tr>
    </w:tbl>
    <w:bookmarkEnd w:id="22"/>
    <w:bookmarkStart w:id="45" w:name="三逐篇总结"/>
    <w:p>
      <w:pPr>
        <w:pStyle w:val="Heading2"/>
      </w:pPr>
      <w:r>
        <w:t>三、逐篇总结</w:t>
      </w:r>
    </w:p>
    <w:bookmarkStart w:id="24" w:name="X175507bec15f7dee7be732d19baaab4fd210c0d"/>
    <w:p>
      <w:pPr>
        <w:pStyle w:val="Heading3"/>
      </w:pPr>
      <w:r>
        <w:t>[1] 选择过载：概念综述与元分析</w:t>
      </w:r>
    </w:p>
    <w:p>
      <w:pPr>
        <w:pStyle w:val="FirstParagraph"/>
        <w:keepNext/>
        <w:keepLines/>
      </w:pPr>
      <w:r>
        <w:rPr>
          <w:bCs/>
          <w:b/>
        </w:rPr>
        <w:t>原题：</w:t>
      </w:r>
      <w:r>
        <w:t xml:space="preserve"> </w:t>
      </w:r>
      <w:r>
        <w:t>Choice overload: A conceptual review and meta-analysis</w:t>
      </w:r>
      <w:r>
        <w:br/>
      </w:r>
      <w:r>
        <w:rPr>
          <w:bCs/>
          <w:b/>
        </w:rPr>
        <w:t>作者与出处：</w:t>
      </w:r>
      <w:r>
        <w:t xml:space="preserve"> </w:t>
      </w:r>
      <w:r>
        <w:t>Alexander Chernev、Ulf Böckenholt、Joseph Goodman；2015；Journal of Consumer Psychology，25(2)，333–358。</w:t>
      </w:r>
      <w:r>
        <w:br/>
      </w:r>
      <w:r>
        <w:rPr>
          <w:bCs/>
          <w:b/>
        </w:rPr>
        <w:t>DOI：</w:t>
      </w:r>
      <w:r>
        <w:t xml:space="preserve"> </w:t>
      </w:r>
      <w:hyperlink r:id="rId23">
        <w:r>
          <w:rPr>
            <w:rStyle w:val="Hyperlink"/>
          </w:rPr>
          <w:t xml:space="preserve">https://doi.org/10.1016/j.jcps.2014.08.002</w:t>
        </w:r>
      </w:hyperlink>
      <w:r>
        <w:br/>
      </w:r>
      <w:r>
        <w:rPr>
          <w:bCs/>
          <w:b/>
        </w:rPr>
        <w:t>阅读依据：</w:t>
      </w:r>
      <w:r>
        <w:t xml:space="preserve"> </w:t>
      </w:r>
      <w:r>
        <w:t>本地 PDF；重点为第 4–8、14、20 页的理论框架、研究纳入方法、结果与讨论。</w:t>
      </w:r>
    </w:p>
    <w:p>
      <w:pPr>
        <w:pStyle w:val="BodyText"/>
      </w:pPr>
      <w:r>
        <w:rPr>
          <w:bCs/>
          <w:b/>
        </w:rPr>
        <w:t>研究问题。</w:t>
      </w:r>
      <w:r>
        <w:t xml:space="preserve"> </w:t>
      </w:r>
      <w:r>
        <w:t>为什么有些研究发现更多选项妨碍决策，有些却没有？作者把问题从“选择过载是否存在”改为“什么条件下，增加选择会造成过载”。</w:t>
      </w:r>
    </w:p>
    <w:p>
      <w:pPr>
        <w:pStyle w:val="BodyText"/>
      </w:pPr>
      <w:r>
        <w:rPr>
          <w:bCs/>
          <w:b/>
        </w:rPr>
        <w:t>方法。</w:t>
      </w:r>
      <w:r>
        <w:t xml:space="preserve"> </w:t>
      </w:r>
      <w:r>
        <w:t>汇总 21 篇文章中的 53 项研究，共 99 个元分析观察值、7,202 名参与者，使用多层元回归分析研究间差异。这里的“99”不是 99 篇论文，也不是 99 个独立实验。</w:t>
      </w:r>
    </w:p>
    <w:p>
      <w:pPr>
        <w:pStyle w:val="BodyText"/>
      </w:pPr>
      <w:r>
        <w:rPr>
          <w:bCs/>
          <w:b/>
        </w:rPr>
        <w:t>主要内容与结果。</w:t>
      </w:r>
      <w:r>
        <w:t xml:space="preserve"> </w:t>
      </w:r>
      <w:r>
        <w:t>作者归纳并检验了四类调节因素：</w:t>
      </w:r>
    </w:p>
    <w:p>
      <w:pPr>
        <w:numPr>
          <w:ilvl w:val="0"/>
          <w:numId w:val="1001"/>
        </w:numPr>
        <w:pStyle w:val="Compact"/>
      </w:pPr>
      <w:r>
        <w:rPr>
          <w:bCs/>
          <w:b/>
        </w:rPr>
        <w:t>决策任务难度：</w:t>
      </w:r>
      <w:r>
        <w:t xml:space="preserve"> </w:t>
      </w:r>
      <w:r>
        <w:t>时间压力、需要向别人解释决定、每个选项包含的属性数量、信息呈现方式等。</w:t>
      </w:r>
    </w:p>
    <w:p>
      <w:pPr>
        <w:numPr>
          <w:ilvl w:val="0"/>
          <w:numId w:val="1001"/>
        </w:numPr>
        <w:pStyle w:val="Compact"/>
      </w:pPr>
      <w:r>
        <w:rPr>
          <w:bCs/>
          <w:b/>
        </w:rPr>
        <w:t>选择集复杂性：</w:t>
      </w:r>
      <w:r>
        <w:t xml:space="preserve"> </w:t>
      </w:r>
      <w:r>
        <w:t>是否存在明显占优的选项、选项之间是否容易比较、是否各自在不同方面有优势等。</w:t>
      </w:r>
    </w:p>
    <w:p>
      <w:pPr>
        <w:numPr>
          <w:ilvl w:val="0"/>
          <w:numId w:val="1001"/>
        </w:numPr>
        <w:pStyle w:val="Compact"/>
      </w:pPr>
      <w:r>
        <w:rPr>
          <w:bCs/>
          <w:b/>
        </w:rPr>
        <w:t>偏好不确定性：</w:t>
      </w:r>
      <w:r>
        <w:t xml:space="preserve"> </w:t>
      </w:r>
      <w:r>
        <w:t>是否熟悉这类产品，是否清楚自己理想中的选择及属性取舍。</w:t>
      </w:r>
    </w:p>
    <w:p>
      <w:pPr>
        <w:numPr>
          <w:ilvl w:val="0"/>
          <w:numId w:val="1001"/>
        </w:numPr>
        <w:pStyle w:val="Compact"/>
      </w:pPr>
      <w:r>
        <w:rPr>
          <w:bCs/>
          <w:b/>
        </w:rPr>
        <w:t>决策目标：</w:t>
      </w:r>
      <w:r>
        <w:t xml:space="preserve"> </w:t>
      </w:r>
      <w:r>
        <w:t>用户是在欣赏和探索，还是已经需要选出一个结果、希望少花认知精力。</w:t>
      </w:r>
    </w:p>
    <w:p>
      <w:pPr>
        <w:pStyle w:val="FirstParagraph"/>
      </w:pPr>
      <w:r>
        <w:t>不纳入这些调节因素时，总体平均效应不显著；纳入后，四类因素均能解释选择过载的差异。任务越难、选择集越复杂、偏好越不清楚、越希望省力地完成选择，增加选项越可能带来负面影响。单纯浏览有时本身就有价值，不能自动被视为决策失败。</w:t>
      </w:r>
    </w:p>
    <w:p>
      <w:pPr>
        <w:pStyle w:val="BodyText"/>
      </w:pPr>
      <w:r>
        <w:t>作者还比较了满意度／信心、后悔、推迟选择、切换意愿等测量方式，发现它们在该元分析中捕捉到的过载效应具有相近表现。</w:t>
      </w:r>
    </w:p>
    <w:p>
      <w:pPr>
        <w:pStyle w:val="BodyText"/>
      </w:pPr>
      <w:r>
        <w:rPr>
          <w:bCs/>
          <w:b/>
        </w:rPr>
        <w:t>局限与解读。</w:t>
      </w:r>
      <w:r>
        <w:t xml:space="preserve"> </w:t>
      </w:r>
      <w:r>
        <w:t>这是一组既有实验的综合，受纳入研究和变量编码约束，不能给出所有场景通用的“最佳选项数”。多种指标在元分析中表现相近，也不意味着在你们的产品评估中可以把过程满意度、结果满意度与后悔当作同一件事。</w:t>
      </w:r>
    </w:p>
    <w:p>
      <w:pPr>
        <w:pStyle w:val="BodyText"/>
      </w:pPr>
      <w:r>
        <w:rPr>
          <w:bCs/>
          <w:b/>
        </w:rPr>
        <w:t>对项目的启发（待验证）。</w:t>
      </w:r>
      <w:r>
        <w:t xml:space="preserve"> </w:t>
      </w:r>
      <w:r>
        <w:t>这是最适合支撑问题界定的基础文献。访谈时可以分别识别：用户是不知道想吃什么、无法比较、觉得选错需要负责，还是根本没有急着做决定。原型应针对其中一种困难，而不是仅减少列表长度。</w:t>
      </w:r>
    </w:p>
    <w:bookmarkEnd w:id="24"/>
    <w:bookmarkStart w:id="26" w:name="Xa808b2346eb3c8e704dac75f52f226d8af65597"/>
    <w:p>
      <w:pPr>
        <w:pStyle w:val="Heading3"/>
      </w:pPr>
      <w:r>
        <w:t>[2] 巧克力并非越多越糟：电商中的选择过载反证</w:t>
      </w:r>
    </w:p>
    <w:p>
      <w:pPr>
        <w:pStyle w:val="FirstParagraph"/>
        <w:keepNext/>
        <w:keepLines/>
      </w:pPr>
      <w:r>
        <w:rPr>
          <w:bCs/>
          <w:b/>
        </w:rPr>
        <w:t>原题：</w:t>
      </w:r>
      <w:r>
        <w:t xml:space="preserve"> </w:t>
      </w:r>
      <w:r>
        <w:t>No Such Thing as Too Much Chocolate: Evidence Against Choice Overload in E-Commerce</w:t>
      </w:r>
      <w:r>
        <w:br/>
      </w:r>
      <w:r>
        <w:rPr>
          <w:bCs/>
          <w:b/>
        </w:rPr>
        <w:t>作者与出处：</w:t>
      </w:r>
      <w:r>
        <w:t xml:space="preserve"> </w:t>
      </w:r>
      <w:r>
        <w:t>Carol Moser、Chanda Phelan、Paul Resnick、Sarita Y. Schoenebeck、Katharina Reinecke；2017；CHI '17，4358–4369。</w:t>
      </w:r>
      <w:r>
        <w:br/>
      </w:r>
      <w:r>
        <w:rPr>
          <w:bCs/>
          <w:b/>
        </w:rPr>
        <w:t>DOI：</w:t>
      </w:r>
      <w:r>
        <w:t xml:space="preserve"> </w:t>
      </w:r>
      <w:hyperlink r:id="rId25">
        <w:r>
          <w:rPr>
            <w:rStyle w:val="Hyperlink"/>
          </w:rPr>
          <w:t xml:space="preserve">https://doi.org/10.1145/3025453.3025778</w:t>
        </w:r>
      </w:hyperlink>
      <w:r>
        <w:br/>
      </w:r>
      <w:r>
        <w:rPr>
          <w:bCs/>
          <w:b/>
        </w:rPr>
        <w:t>阅读依据：</w:t>
      </w:r>
      <w:r>
        <w:t xml:space="preserve"> </w:t>
      </w:r>
      <w:r>
        <w:t>本地 PDF，重点为第 3–4、7–10 页的实验、分析、结果及局限。</w:t>
      </w:r>
    </w:p>
    <w:p>
      <w:pPr>
        <w:pStyle w:val="BodyText"/>
      </w:pPr>
      <w:r>
        <w:rPr>
          <w:bCs/>
          <w:b/>
        </w:rPr>
        <w:t>研究问题。</w:t>
      </w:r>
      <w:r>
        <w:t xml:space="preserve"> </w:t>
      </w:r>
      <w:r>
        <w:t>在线商店一次呈现更多商品，是否会降低选择满意度？追求“最优”的用户是否比接受“足够好”的用户更容易受到影响？</w:t>
      </w:r>
    </w:p>
    <w:p>
      <w:pPr>
        <w:pStyle w:val="BodyText"/>
      </w:pPr>
      <w:r>
        <w:rPr>
          <w:bCs/>
          <w:b/>
        </w:rPr>
        <w:t>方法。</w:t>
      </w:r>
      <w:r>
        <w:t xml:space="preserve"> </w:t>
      </w:r>
      <w:r>
        <w:t>611 名有效参与者被随机分配到 12、24、40、50、60 或 72 个巧克力选项之一。模拟网站包含商品列表、详情、购物车和结账，参与者有十分之一概率收到自己选中的巧克力。商品主要在口味、颜色等方面不同，价格、品牌和包装未作为差异属性。研究测量最大化倾向与选择后的满意度，并结合传统回归和贝叶斯分析。</w:t>
      </w:r>
    </w:p>
    <w:p>
      <w:pPr>
        <w:pStyle w:val="BodyText"/>
      </w:pPr>
      <w:r>
        <w:rPr>
          <w:bCs/>
          <w:b/>
        </w:rPr>
        <w:t>主要结果。</w:t>
      </w:r>
      <w:r>
        <w:t xml:space="preserve"> </w:t>
      </w:r>
      <w:r>
        <w:t>最大化倾向越强，整体满意度越低；但选项数量对满意度的影响很小，研究没有支持“选项越多越不满意”的假设，也没有支持“最大化者随数量增加而更明显地降低满意度”的假设。贝叶斯分析进一步表明，在这个实验条件下，数量造成较大满意度变化的可能性较低。</w:t>
      </w:r>
    </w:p>
    <w:p>
      <w:pPr>
        <w:pStyle w:val="BodyText"/>
      </w:pPr>
      <w:r>
        <w:rPr>
          <w:bCs/>
          <w:b/>
        </w:rPr>
        <w:t>作者的解释。</w:t>
      </w:r>
      <w:r>
        <w:t xml:space="preserve"> </w:t>
      </w:r>
      <w:r>
        <w:t>在线购物者可能已经习惯大列表，标准化的信息展示也可能降低搜索成本。不过，这些是对结果的可能解释，并非实验已逐一证明的机制。</w:t>
      </w:r>
    </w:p>
    <w:p>
      <w:pPr>
        <w:pStyle w:val="BodyText"/>
      </w:pPr>
      <w:r>
        <w:rPr>
          <w:bCs/>
          <w:b/>
        </w:rPr>
        <w:t>局限与解读。</w:t>
      </w:r>
      <w:r>
        <w:t xml:space="preserve"> </w:t>
      </w:r>
      <w:r>
        <w:t>巧克力是低风险商品，参与者没有承担普通购买中的完整经济代价；所有人最终都做出了选择，未检验放弃购买。最小集合是 12 个，不能回答 3 个或 6 个是否更好。研究也没有证明所有电商或手机外卖场景都不存在选择过载。</w:t>
      </w:r>
    </w:p>
    <w:p>
      <w:pPr>
        <w:pStyle w:val="BodyText"/>
      </w:pPr>
      <w:r>
        <w:rPr>
          <w:bCs/>
          <w:b/>
        </w:rPr>
        <w:t>对项目的启发（待验证）。</w:t>
      </w:r>
      <w:r>
        <w:t xml:space="preserve"> </w:t>
      </w:r>
      <w:r>
        <w:t>这篇 CHI 论文应与 [1] 一起读。你们不能以“美团商家太多”作为问题已经成立的证据。需要观察用户是否真的因为数量而受困，还是因为配送、价格、口味和食欲的取舍，或对结果没有信心。</w:t>
      </w:r>
    </w:p>
    <w:bookmarkEnd w:id="26"/>
    <w:bookmarkStart w:id="28" w:name="X30888e701330986fcd183f0c58c2c2434aba793"/>
    <w:p>
      <w:pPr>
        <w:pStyle w:val="Heading3"/>
      </w:pPr>
      <w:r>
        <w:t>[3] 菜单选择：满意还是过载？</w:t>
      </w:r>
    </w:p>
    <w:p>
      <w:pPr>
        <w:pStyle w:val="FirstParagraph"/>
        <w:keepNext/>
        <w:keepLines/>
      </w:pPr>
      <w:r>
        <w:rPr>
          <w:bCs/>
          <w:b/>
        </w:rPr>
        <w:t>原题：</w:t>
      </w:r>
      <w:r>
        <w:t xml:space="preserve"> </w:t>
      </w:r>
      <w:r>
        <w:t>Menu Choice: Satisfaction or Overload?</w:t>
      </w:r>
      <w:r>
        <w:br/>
      </w:r>
      <w:r>
        <w:rPr>
          <w:bCs/>
          <w:b/>
        </w:rPr>
        <w:t>作者与出处：</w:t>
      </w:r>
      <w:r>
        <w:t xml:space="preserve"> </w:t>
      </w:r>
      <w:r>
        <w:t>Nick Johns、John S. A. Edwards、Heather J. Hartwell；2013；Journal of Culinary Science &amp; Technology，11(3)，275–285。</w:t>
      </w:r>
      <w:r>
        <w:br/>
      </w:r>
      <w:r>
        <w:rPr>
          <w:bCs/>
          <w:b/>
        </w:rPr>
        <w:t>DOI：</w:t>
      </w:r>
      <w:r>
        <w:t xml:space="preserve"> </w:t>
      </w:r>
      <w:hyperlink r:id="rId27">
        <w:r>
          <w:rPr>
            <w:rStyle w:val="Hyperlink"/>
          </w:rPr>
          <w:t xml:space="preserve">https://doi.org/10.1080/15428052.2013.798564</w:t>
        </w:r>
      </w:hyperlink>
      <w:r>
        <w:br/>
      </w:r>
      <w:r>
        <w:rPr>
          <w:bCs/>
          <w:b/>
        </w:rPr>
        <w:t>阅读依据：</w:t>
      </w:r>
      <w:r>
        <w:t xml:space="preserve"> </w:t>
      </w:r>
      <w:r>
        <w:t>本地 PDF，重点为第 6–10 页的方法、结果和讨论。</w:t>
      </w:r>
    </w:p>
    <w:p>
      <w:pPr>
        <w:pStyle w:val="BodyText"/>
      </w:pPr>
      <w:r>
        <w:rPr>
          <w:bCs/>
          <w:b/>
        </w:rPr>
        <w:t>研究问题。</w:t>
      </w:r>
      <w:r>
        <w:t xml:space="preserve"> </w:t>
      </w:r>
      <w:r>
        <w:t>在快餐和精致餐饮两种菜单情境中，人们认为多少菜品选择比较合适？</w:t>
      </w:r>
    </w:p>
    <w:p>
      <w:pPr>
        <w:pStyle w:val="BodyText"/>
      </w:pPr>
      <w:r>
        <w:rPr>
          <w:bCs/>
          <w:b/>
        </w:rPr>
        <w:t>方法。</w:t>
      </w:r>
      <w:r>
        <w:t xml:space="preserve"> </w:t>
      </w:r>
      <w:r>
        <w:t>研究在英国大学开放日招募准大学生及家长，让他们评价模拟菜单。精致餐饮菜单分别在每道菜序下提供 5、10 或 15 种选择；快餐菜单在每个类别下提供 2、4、6、8 或 10 种选择。评价采用 9 点量表：1 表示太少，5 表示刚好，9 表示太多。</w:t>
      </w:r>
    </w:p>
    <w:p>
      <w:pPr>
        <w:pStyle w:val="BodyText"/>
      </w:pPr>
      <w:r>
        <w:t>精致餐饮样本为 202 人；快餐样本在摘要中写为 241 人，方法正文与人口统计表对应 242 人，原文存在不一致。这里保留该差异，不擅自统一。</w:t>
      </w:r>
    </w:p>
    <w:p>
      <w:pPr>
        <w:pStyle w:val="BodyText"/>
      </w:pPr>
      <w:r>
        <w:rPr>
          <w:bCs/>
          <w:b/>
        </w:rPr>
        <w:t>主要结果。</w:t>
      </w:r>
      <w:r>
        <w:t xml:space="preserve"> </w:t>
      </w:r>
      <w:r>
        <w:t>快餐各类别的“刚好”评价大致对应 6 个选项；精致餐饮的前菜和甜点约为 7–8 个，主菜约为 10 个。研究提示，用餐场景和菜单类别会影响人们对选择数量的期待。</w:t>
      </w:r>
    </w:p>
    <w:p>
      <w:pPr>
        <w:pStyle w:val="BodyText"/>
      </w:pPr>
      <w:r>
        <w:rPr>
          <w:bCs/>
          <w:b/>
        </w:rPr>
        <w:t>局限与解读。</w:t>
      </w:r>
      <w:r>
        <w:t xml:space="preserve"> </w:t>
      </w:r>
      <w:r>
        <w:t>参与者主要评价的是“数量是否合适”，研究没有让他们实际完成点餐并就餐，因此不能把结果写成“6 道菜能使就餐满意度最高”。部分理想数量来自评分趋势，未必是直接测试的精确数值。作者也明确指出，中点偏好、呈现范围、文化及样本构成可能影响结果，尚不能宣称找到了普适最优数量。</w:t>
      </w:r>
    </w:p>
    <w:p>
      <w:pPr>
        <w:pStyle w:val="BodyText"/>
      </w:pPr>
      <w:r>
        <w:rPr>
          <w:bCs/>
          <w:b/>
        </w:rPr>
        <w:t>对项目的启发（待验证）。</w:t>
      </w:r>
      <w:r>
        <w:t xml:space="preserve"> </w:t>
      </w:r>
      <w:r>
        <w:t>可以把“按场景和类别组织候选项”作为原型假设，但不应规定所有用户永远只能看 6 个。评价时应分别测量选项数量的感受、选择过程体验和实际用餐结果。</w:t>
      </w:r>
    </w:p>
    <w:bookmarkEnd w:id="28"/>
    <w:bookmarkStart w:id="30" w:name="Xd3b3fc78cfec665177df0f4496cc8cdb8caba64"/>
    <w:p>
      <w:pPr>
        <w:pStyle w:val="Heading3"/>
      </w:pPr>
      <w:r>
        <w:t>[4] 中国乳制品市场中的选择过载与体验效用</w:t>
      </w:r>
    </w:p>
    <w:p>
      <w:pPr>
        <w:pStyle w:val="FirstParagraph"/>
        <w:keepNext/>
        <w:keepLines/>
      </w:pPr>
      <w:r>
        <w:rPr>
          <w:bCs/>
          <w:b/>
        </w:rPr>
        <w:t>原题：</w:t>
      </w:r>
      <w:r>
        <w:t xml:space="preserve"> </w:t>
      </w:r>
      <w:r>
        <w:t>Choice overload and experienced utility in the Chinese dairy market: The moderating role of decision styles and the impact of information nudging</w:t>
      </w:r>
      <w:r>
        <w:br/>
      </w:r>
      <w:r>
        <w:rPr>
          <w:bCs/>
          <w:b/>
        </w:rPr>
        <w:t>作者与出处：</w:t>
      </w:r>
      <w:r>
        <w:t xml:space="preserve"> </w:t>
      </w:r>
      <w:r>
        <w:t>Pengcheng Liu、Taotao Tu、Qingqing Dong；2025；Food Quality and Preference，133，105635。</w:t>
      </w:r>
      <w:r>
        <w:br/>
      </w:r>
      <w:r>
        <w:rPr>
          <w:bCs/>
          <w:b/>
        </w:rPr>
        <w:t>DOI：</w:t>
      </w:r>
      <w:r>
        <w:t xml:space="preserve"> </w:t>
      </w:r>
      <w:hyperlink r:id="rId29">
        <w:r>
          <w:rPr>
            <w:rStyle w:val="Hyperlink"/>
          </w:rPr>
          <w:t xml:space="preserve">https://doi.org/10.1016/j.foodqual.2025.105635</w:t>
        </w:r>
      </w:hyperlink>
      <w:r>
        <w:br/>
      </w:r>
      <w:r>
        <w:rPr>
          <w:bCs/>
          <w:b/>
        </w:rPr>
        <w:t>阅读依据：</w:t>
      </w:r>
      <w:r>
        <w:t xml:space="preserve"> </w:t>
      </w:r>
      <w:r>
        <w:t>本地 PDF，重点为第 4–11 页；第 9 页结果表另与 PDF 页面核对。</w:t>
      </w:r>
    </w:p>
    <w:p>
      <w:pPr>
        <w:pStyle w:val="BodyText"/>
      </w:pPr>
      <w:r>
        <w:rPr>
          <w:bCs/>
          <w:b/>
        </w:rPr>
        <w:t>研究问题。</w:t>
      </w:r>
      <w:r>
        <w:t xml:space="preserve"> </w:t>
      </w:r>
      <w:r>
        <w:t>新增属性、增加相似产品和提供特定属性的信息提示，分别怎样影响消费者选择过程中的困难、困惑、焦虑、后悔、信心和满意度？最大化者与满足者是否有不同反应？</w:t>
      </w:r>
    </w:p>
    <w:p>
      <w:pPr>
        <w:pStyle w:val="BodyText"/>
      </w:pPr>
      <w:r>
        <w:rPr>
          <w:bCs/>
          <w:b/>
        </w:rPr>
        <w:t>方法。</w:t>
      </w:r>
      <w:r>
        <w:t xml:space="preserve"> </w:t>
      </w:r>
      <w:r>
        <w:t>在华中农业大学开展实验，获得 248 名本科生的有效数据。135 人完成新增有机属性与低脂信息提示两类实验，113 人完成增加相似选项的实验。参与者在基线选择和变化后的选择后分别填写体验量表。部分实验起始只有两个产品，所以研究关注的不只是大规模商品列表，也包括小集合内的比较复杂性。决策风格通过量表及聚类划分，样本中有 182 名最大化者和 66 名满足者。</w:t>
      </w:r>
    </w:p>
    <w:p>
      <w:pPr>
        <w:pStyle w:val="BodyText"/>
      </w:pPr>
      <w:r>
        <w:rPr>
          <w:bCs/>
          <w:b/>
        </w:rPr>
        <w:t>主要结果。</w:t>
      </w:r>
      <w:r>
        <w:t xml:space="preserve"> </w:t>
      </w:r>
      <w:r>
        <w:t>增加属性或相似选项会提高部分负担指标，尤其是困惑；突出已有“低脂”属性的信息提示，则降低多个主观负担指标，并提高决策满意度。提示不仅提供事实，还通过健康背景、可信来源和明确建议突出某个选择依据。</w:t>
      </w:r>
    </w:p>
    <w:p>
      <w:pPr>
        <w:pStyle w:val="BodyText"/>
      </w:pPr>
      <w:r>
        <w:rPr>
          <w:bCs/>
          <w:b/>
        </w:rPr>
        <w:t>需要保留的结果细节。</w:t>
      </w:r>
      <w:r>
        <w:t xml:space="preserve"> </w:t>
      </w:r>
      <w:r>
        <w:t>摘要概括为“复杂性降低满意度”，但第 9 页表 6、表 7 中，前两项实验的全样本满意度变化没有显著性标记，不能写成两项实验都已证明满意度显著下降。增加相似选项后，全样本后悔指标反而下降；信心也没有在所有实验中同步变化。正文与表格的个别显著性表述存在差异，因此本总结不据此给出精确的普遍效应大小。</w:t>
      </w:r>
    </w:p>
    <w:p>
      <w:pPr>
        <w:pStyle w:val="BodyText"/>
      </w:pPr>
      <w:r>
        <w:rPr>
          <w:bCs/>
          <w:b/>
        </w:rPr>
        <w:t>局限与解读。</w:t>
      </w:r>
      <w:r>
        <w:t xml:space="preserve"> </w:t>
      </w:r>
      <w:r>
        <w:t>样本来自一所大学，产品限于液态奶，测量主要为选择后立即回顾的主观体验。作者承认，关于决策风格的调节作用，还需要更正式的交互效应检验；不能仅因一个子组显著、另一个不显著，就断言组间作用有显著差异。量表也不能不经适配便作为你们场景中已经验证的测量工具。</w:t>
      </w:r>
    </w:p>
    <w:p>
      <w:pPr>
        <w:pStyle w:val="BodyText"/>
      </w:pPr>
      <w:r>
        <w:rPr>
          <w:bCs/>
          <w:b/>
        </w:rPr>
        <w:t>对项目的启发（待验证）。</w:t>
      </w:r>
      <w:r>
        <w:t xml:space="preserve"> </w:t>
      </w:r>
      <w:r>
        <w:t>用户可能只面对两三家餐馆，却仍因差别难比较而纠结。帮助用户看到与其当下目标有关的关键区别，可能比继续增加筛选条件更有价值。但系统突出“低脂”“便宜”还是“好吃”，本身涉及产品价值立场，需要与用户的目标一致。</w:t>
      </w:r>
    </w:p>
    <w:bookmarkEnd w:id="30"/>
    <w:bookmarkStart w:id="32" w:name="X54b0e6dac498b8599c1a78f48e9a250a1dbb87f"/>
    <w:p>
      <w:pPr>
        <w:pStyle w:val="Heading3"/>
      </w:pPr>
      <w:r>
        <w:t>[5] 选择冲突：消费者如何决定去哪里吃晚饭</w:t>
      </w:r>
    </w:p>
    <w:p>
      <w:pPr>
        <w:pStyle w:val="FirstParagraph"/>
        <w:keepNext/>
        <w:keepLines/>
      </w:pPr>
      <w:r>
        <w:rPr>
          <w:bCs/>
          <w:b/>
        </w:rPr>
        <w:t>原题：</w:t>
      </w:r>
      <w:r>
        <w:t xml:space="preserve"> </w:t>
      </w:r>
      <w:r>
        <w:t>A conflict of choice: How consumers choose where to go for dinner</w:t>
      </w:r>
      <w:r>
        <w:br/>
      </w:r>
      <w:r>
        <w:rPr>
          <w:bCs/>
          <w:b/>
        </w:rPr>
        <w:t>作者与出处：</w:t>
      </w:r>
      <w:r>
        <w:t xml:space="preserve"> </w:t>
      </w:r>
      <w:r>
        <w:t>Jae Man Jung、Sandra Sydnor、Seul Ki Lee、Barbara Almanza；2015；International Journal of Hospitality Management，45，88–98。</w:t>
      </w:r>
      <w:r>
        <w:br/>
      </w:r>
      <w:r>
        <w:rPr>
          <w:bCs/>
          <w:b/>
        </w:rPr>
        <w:t>DOI：</w:t>
      </w:r>
      <w:r>
        <w:t xml:space="preserve"> </w:t>
      </w:r>
      <w:hyperlink r:id="rId31">
        <w:r>
          <w:rPr>
            <w:rStyle w:val="Hyperlink"/>
          </w:rPr>
          <w:t xml:space="preserve">https://doi.org/10.1016/j.ijhm.2014.11.007</w:t>
        </w:r>
      </w:hyperlink>
      <w:r>
        <w:br/>
      </w:r>
      <w:r>
        <w:rPr>
          <w:bCs/>
          <w:b/>
        </w:rPr>
        <w:t>阅读依据：</w:t>
      </w:r>
      <w:r>
        <w:t xml:space="preserve"> </w:t>
      </w:r>
      <w:r>
        <w:t>本地 PDF，重点为第 4–8 页的选择实验、回归结果及局限。</w:t>
      </w:r>
    </w:p>
    <w:p>
      <w:pPr>
        <w:pStyle w:val="BodyText"/>
      </w:pPr>
      <w:r>
        <w:rPr>
          <w:bCs/>
          <w:b/>
        </w:rPr>
        <w:t>研究问题。</w:t>
      </w:r>
      <w:r>
        <w:t xml:space="preserve"> </w:t>
      </w:r>
      <w:r>
        <w:t>当食物质量、服务质量和价格发生冲突，消费者怎样取舍？是否有人根本不愿意用某个重要属性换取其他方面的优势？</w:t>
      </w:r>
    </w:p>
    <w:p>
      <w:pPr>
        <w:pStyle w:val="BodyText"/>
      </w:pPr>
      <w:r>
        <w:rPr>
          <w:bCs/>
          <w:b/>
        </w:rPr>
        <w:t>方法。</w:t>
      </w:r>
      <w:r>
        <w:t xml:space="preserve"> </w:t>
      </w:r>
      <w:r>
        <w:t>232 名美国成年消费者完成在线选择实验，情境设定为周六晚上与朋友去休闲餐馆吃牛排。研究操纵食物质量、服务质量和价格，每人完成 10 组两方案选择。价格为 14、19 或 24 美元；质量分为差、一般、好。分析使用重复测量逻辑回归，并识别优先坚持某个属性的“词典式”决策行为。</w:t>
      </w:r>
    </w:p>
    <w:p>
      <w:pPr>
        <w:pStyle w:val="BodyText"/>
      </w:pPr>
      <w:r>
        <w:rPr>
          <w:bCs/>
          <w:b/>
        </w:rPr>
        <w:t>主要结果。</w:t>
      </w:r>
      <w:r>
        <w:t xml:space="preserve"> </w:t>
      </w:r>
      <w:r>
        <w:t>食物质量是关键属性，差的食物质量很难由便宜或好服务弥补。相对于一般服务，差服务显著降低被选择的可能性，但好服务并未显著增加被选择的可能性，显示收益与损失的作用并不对称。约四分之一受访者，即摘要报告的 24.57%，不愿以食物质量换取更好的服务或更低的价格。</w:t>
      </w:r>
    </w:p>
    <w:p>
      <w:pPr>
        <w:pStyle w:val="BodyText"/>
      </w:pPr>
      <w:r>
        <w:rPr>
          <w:bCs/>
          <w:b/>
        </w:rPr>
        <w:t>概念解释。</w:t>
      </w:r>
      <w:r>
        <w:t xml:space="preserve"> </w:t>
      </w:r>
      <w:r>
        <w:t>“补偿式决策”类似于综合权衡：贵一点可以用好吃来弥补。“非补偿式决策”则会优先坚持某个属性，其他优势不一定能抵消它的不足。本文具体识别的是词典式优先规则，不能直接等同于已经测出了每个人明确的最低门槛。</w:t>
      </w:r>
    </w:p>
    <w:p>
      <w:pPr>
        <w:pStyle w:val="BodyText"/>
      </w:pPr>
      <w:r>
        <w:rPr>
          <w:bCs/>
          <w:b/>
        </w:rPr>
        <w:t>局限与解读。</w:t>
      </w:r>
      <w:r>
        <w:t xml:space="preserve"> </w:t>
      </w:r>
      <w:r>
        <w:t>这是对假想餐馆的个体选择，虽涉及“与朋友吃饭”的场景，却没有观察朋友之间如何协商。研究只考虑有限属性，其比例和属性优先级不能照搬到南京大学学生的外卖预算与配送场景。</w:t>
      </w:r>
    </w:p>
    <w:p>
      <w:pPr>
        <w:pStyle w:val="BodyText"/>
      </w:pPr>
      <w:r>
        <w:rPr>
          <w:bCs/>
          <w:b/>
        </w:rPr>
        <w:t>对项目的启发（待验证）。</w:t>
      </w:r>
      <w:r>
        <w:t xml:space="preserve"> </w:t>
      </w:r>
      <w:r>
        <w:t>不要预设所有偏好都能相加后取平均。访谈可以追问“其他条件再好，你也不会选的情况是什么”。多人原型若要汇总偏好，也应先研究哪些属于不可接受条件、哪些只是加分项；这属于从本文提出的设计假设。</w:t>
      </w:r>
    </w:p>
    <w:bookmarkEnd w:id="32"/>
    <w:bookmarkStart w:id="34" w:name="Xff0e51616e3c08c771cc206f7bc0e2b10753d86"/>
    <w:p>
      <w:pPr>
        <w:pStyle w:val="Heading3"/>
      </w:pPr>
      <w:r>
        <w:t>[6] 影响消费者选择餐馆的因素：美国东南部的探索性研究</w:t>
      </w:r>
    </w:p>
    <w:p>
      <w:pPr>
        <w:pStyle w:val="FirstParagraph"/>
        <w:keepNext/>
        <w:keepLines/>
      </w:pPr>
      <w:r>
        <w:rPr>
          <w:bCs/>
          <w:b/>
        </w:rPr>
        <w:t>原题：</w:t>
      </w:r>
      <w:r>
        <w:t xml:space="preserve"> </w:t>
      </w:r>
      <w:r>
        <w:t>Factors Driving Consumer Restaurant Choice: An Exploratory Study From the Southeastern United States</w:t>
      </w:r>
      <w:r>
        <w:br/>
      </w:r>
      <w:r>
        <w:rPr>
          <w:bCs/>
          <w:b/>
        </w:rPr>
        <w:t>作者与出处：</w:t>
      </w:r>
      <w:r>
        <w:t xml:space="preserve"> </w:t>
      </w:r>
      <w:r>
        <w:t>Abel Duarte Alonso、Martin O'Neill、Yi Liu、Michelle O'Shea；2013；Journal of Hospitality Marketing &amp; Management，22(5)，547–567。</w:t>
      </w:r>
      <w:r>
        <w:br/>
      </w:r>
      <w:r>
        <w:rPr>
          <w:bCs/>
          <w:b/>
        </w:rPr>
        <w:t>DOI：</w:t>
      </w:r>
      <w:r>
        <w:t xml:space="preserve"> </w:t>
      </w:r>
      <w:hyperlink r:id="rId33">
        <w:r>
          <w:rPr>
            <w:rStyle w:val="Hyperlink"/>
          </w:rPr>
          <w:t xml:space="preserve">https://doi.org/10.1080/19368623.2012.671562</w:t>
        </w:r>
      </w:hyperlink>
      <w:r>
        <w:br/>
      </w:r>
      <w:r>
        <w:rPr>
          <w:bCs/>
          <w:b/>
        </w:rPr>
        <w:t>阅读依据：</w:t>
      </w:r>
      <w:r>
        <w:t xml:space="preserve"> </w:t>
      </w:r>
      <w:r>
        <w:t>仅题录和摘要，未核查全文。</w:t>
      </w:r>
    </w:p>
    <w:p>
      <w:pPr>
        <w:pStyle w:val="BodyText"/>
      </w:pPr>
      <w:r>
        <w:rPr>
          <w:bCs/>
          <w:b/>
        </w:rPr>
        <w:t>研究问题与样本。</w:t>
      </w:r>
      <w:r>
        <w:t xml:space="preserve"> </w:t>
      </w:r>
      <w:r>
        <w:t>研究探讨消费者为什么偏好某家餐馆，样本为 277 名消费者，主要居住在美国东南部。</w:t>
      </w:r>
    </w:p>
    <w:p>
      <w:pPr>
        <w:pStyle w:val="BodyText"/>
      </w:pPr>
      <w:r>
        <w:rPr>
          <w:bCs/>
          <w:b/>
        </w:rPr>
        <w:t>摘要报告的主要结果。</w:t>
      </w:r>
      <w:r>
        <w:t xml:space="preserve"> </w:t>
      </w:r>
      <w:r>
        <w:t>食物本身，尤其是质量和味道，是重要因素；既往良好体验、干净的生产和服务环境、热情的服务也较重要。虽然当地具有农业背景和丰富食材，是否使用本地食材却是受访者较少考虑的因素之一。</w:t>
      </w:r>
    </w:p>
    <w:p>
      <w:pPr>
        <w:pStyle w:val="BodyText"/>
      </w:pPr>
      <w:r>
        <w:rPr>
          <w:bCs/>
          <w:b/>
        </w:rPr>
        <w:t>能够支持的结论。</w:t>
      </w:r>
      <w:r>
        <w:t xml:space="preserve"> </w:t>
      </w:r>
      <w:r>
        <w:t>人们选餐馆会考虑多个维度，熟悉的正面经历和环境卫生也值得纳入前期研究。一个在研究者看来“应该重要”的属性，未必是用户真正优先考虑的属性。</w:t>
      </w:r>
    </w:p>
    <w:p>
      <w:pPr>
        <w:pStyle w:val="BodyText"/>
      </w:pPr>
      <w:r>
        <w:rPr>
          <w:bCs/>
          <w:b/>
        </w:rPr>
        <w:t>无法据此确定的内容。</w:t>
      </w:r>
      <w:r>
        <w:t xml:space="preserve"> </w:t>
      </w:r>
      <w:r>
        <w:t>摘要不足以核实招募方式、完整题项、变量排序的精确差距、统计方法及因果关系。不能据此断言年轻人最终下单一定由味道驱动，也不能把本地食材的重要程度推广到中国学生。</w:t>
      </w:r>
    </w:p>
    <w:p>
      <w:pPr>
        <w:pStyle w:val="BodyText"/>
      </w:pPr>
      <w:r>
        <w:rPr>
          <w:bCs/>
          <w:b/>
        </w:rPr>
        <w:t>对项目的启发（待验证）。</w:t>
      </w:r>
      <w:r>
        <w:t xml:space="preserve"> </w:t>
      </w:r>
      <w:r>
        <w:t>适合作为访谈维度的来源，加入熟悉度、卫生和服务经历，而不是只问价格与口味。若要把它作为开题报告中的核心证据，建议先补齐全文。</w:t>
      </w:r>
    </w:p>
    <w:bookmarkEnd w:id="34"/>
    <w:bookmarkStart w:id="36" w:name="Xc312eb8c584d1bd1833ac7738f218a9238847d0"/>
    <w:p>
      <w:pPr>
        <w:pStyle w:val="Heading3"/>
      </w:pPr>
      <w:r>
        <w:t>[7] 在线餐馆选择的信息处理模式：Yelp 研究</w:t>
      </w:r>
    </w:p>
    <w:p>
      <w:pPr>
        <w:pStyle w:val="FirstParagraph"/>
        <w:keepNext/>
        <w:keepLines/>
      </w:pPr>
      <w:r>
        <w:rPr>
          <w:bCs/>
          <w:b/>
        </w:rPr>
        <w:t>原题：</w:t>
      </w:r>
      <w:r>
        <w:t xml:space="preserve"> </w:t>
      </w:r>
      <w:r>
        <w:t>Analyzing consumer decision-making patterns in online restaurant selection: A study of information processing styles on yelp</w:t>
      </w:r>
      <w:r>
        <w:br/>
      </w:r>
      <w:r>
        <w:rPr>
          <w:bCs/>
          <w:b/>
        </w:rPr>
        <w:t>作者与出处：</w:t>
      </w:r>
      <w:r>
        <w:t xml:space="preserve"> </w:t>
      </w:r>
      <w:r>
        <w:t>Yun Wan、Makoto Nakayama；2025；International Journal of Hospitality Management，131，104306。</w:t>
      </w:r>
      <w:r>
        <w:br/>
      </w:r>
      <w:r>
        <w:rPr>
          <w:bCs/>
          <w:b/>
        </w:rPr>
        <w:t>DOI：</w:t>
      </w:r>
      <w:r>
        <w:t xml:space="preserve"> </w:t>
      </w:r>
      <w:hyperlink r:id="rId35">
        <w:r>
          <w:rPr>
            <w:rStyle w:val="Hyperlink"/>
          </w:rPr>
          <w:t xml:space="preserve">https://doi.org/10.1016/j.ijhm.2025.104306</w:t>
        </w:r>
      </w:hyperlink>
      <w:r>
        <w:br/>
      </w:r>
      <w:r>
        <w:rPr>
          <w:bCs/>
          <w:b/>
        </w:rPr>
        <w:t>阅读依据：</w:t>
      </w:r>
      <w:r>
        <w:t xml:space="preserve"> </w:t>
      </w:r>
      <w:r>
        <w:t>本地 PDF，重点为第 5–11 页的任务、分组方法、结果与局限。</w:t>
      </w:r>
    </w:p>
    <w:p>
      <w:pPr>
        <w:pStyle w:val="BodyText"/>
      </w:pPr>
      <w:r>
        <w:rPr>
          <w:bCs/>
          <w:b/>
        </w:rPr>
        <w:t>研究问题。</w:t>
      </w:r>
      <w:r>
        <w:t xml:space="preserve"> </w:t>
      </w:r>
      <w:r>
        <w:t>选择餐馆时，人们究竟怎样搜索、查看评论和照片，何时结束浏览？既往经验和时间投入如何与这些行为模式关联？</w:t>
      </w:r>
    </w:p>
    <w:p>
      <w:pPr>
        <w:pStyle w:val="BodyText"/>
      </w:pPr>
      <w:r>
        <w:rPr>
          <w:bCs/>
          <w:b/>
        </w:rPr>
        <w:t>方法。</w:t>
      </w:r>
      <w:r>
        <w:t xml:space="preserve"> </w:t>
      </w:r>
      <w:r>
        <w:t>282 名有效参与者在 Yelp 上寻找一家适合与朋友晚餐、预算低于 100 美元的日本餐馆。研究通过专用浏览器记录访问页面、点击顺序和时间戳，并通过任务后的问卷收集经验与人口信息。经验由日本餐馆消费频率和熟悉度两个问题评估；再按经验和实际任务时长划分四组。</w:t>
      </w:r>
    </w:p>
    <w:tbl>
      <w:tblPr>
        <w:tblStyle w:val="TableGrid"/>
        <w:tblW w:type="pct" w:w="0.0"/>
        <w:tblLayout w:type="fixed"/>
        <w:tblLook w:firstRow="1" w:lastRow="0" w:firstColumn="0" w:lastColumn="0" w:noHBand="0" w:noVBand="0" w:val="0020"/>
      </w:tblPr>
      <w:tblGrid/>
      <w:tr>
        <w:trPr>
          <w:cantSplit/>
          <w:tblHeader/>
        </w:trPr>
        <w:tc>
          <w:tcPr>
            <w:tcW w:type="dxa" w:w="3288"/>
            <w:shd w:fill="EAF0F4"/>
          </w:tcPr>
          <w:p>
            <w:pPr>
              <w:pStyle w:val="Compact"/>
              <w:keepNext/>
              <w:keepLines/>
              <w:spacing w:before="60" w:after="60" w:line="264" w:lineRule="auto"/>
              <w:jc w:val="left"/>
            </w:pPr>
            <w:r>
              <w:rPr>
                <w:b/>
                <w:sz w:val="19"/>
              </w:rPr>
              <w:t>研究中的类型</w:t>
            </w:r>
          </w:p>
        </w:tc>
        <w:tc>
          <w:tcPr>
            <w:tcW w:type="dxa" w:w="2891"/>
            <w:shd w:fill="EAF0F4"/>
          </w:tcPr>
          <w:p>
            <w:pPr>
              <w:pStyle w:val="Compact"/>
              <w:keepNext/>
              <w:keepLines/>
              <w:spacing w:before="60" w:after="60" w:line="264" w:lineRule="auto"/>
              <w:jc w:val="left"/>
            </w:pPr>
            <w:r>
              <w:rPr>
                <w:b/>
                <w:sz w:val="19"/>
              </w:rPr>
              <w:t>经验与时长特征</w:t>
            </w:r>
          </w:p>
        </w:tc>
        <w:tc>
          <w:tcPr>
            <w:tcW w:type="dxa" w:w="1134"/>
            <w:shd w:fill="EAF0F4"/>
          </w:tcPr>
          <w:p>
            <w:pPr>
              <w:pStyle w:val="Compact"/>
              <w:keepNext/>
              <w:keepLines/>
              <w:spacing w:before="60" w:after="60" w:line="264" w:lineRule="auto"/>
              <w:jc w:val="left"/>
            </w:pPr>
            <w:r>
              <w:rPr>
                <w:b/>
                <w:sz w:val="19"/>
              </w:rPr>
              <w:t>人数</w:t>
            </w:r>
          </w:p>
        </w:tc>
        <w:tc>
          <w:tcPr>
            <w:tcW w:type="dxa" w:w="2211"/>
            <w:shd w:fill="EAF0F4"/>
          </w:tcPr>
          <w:p>
            <w:pPr>
              <w:pStyle w:val="Compact"/>
              <w:keepNext/>
              <w:keepLines/>
              <w:spacing w:before="60" w:after="60" w:line="264" w:lineRule="auto"/>
              <w:jc w:val="left"/>
            </w:pPr>
            <w:r>
              <w:rPr>
                <w:b/>
                <w:sz w:val="19"/>
              </w:rPr>
              <w:t>平均任务时长</w:t>
            </w:r>
          </w:p>
        </w:tc>
      </w:tr>
      <w:tr>
        <w:trPr>
          <w:cantSplit/>
        </w:trPr>
        <w:tc>
          <w:tcPr>
            <w:tcW w:type="dxa" w:w="3288"/>
          </w:tcPr>
          <w:p>
            <w:pPr>
              <w:pStyle w:val="Compact"/>
              <w:keepNext w:val="0"/>
              <w:keepLines/>
              <w:spacing w:before="60" w:after="60" w:line="264" w:lineRule="auto"/>
              <w:jc w:val="left"/>
            </w:pPr>
            <w:r>
              <w:rPr>
                <w:sz w:val="19"/>
              </w:rPr>
              <w:t>Quick experts，快速熟手</w:t>
            </w:r>
          </w:p>
        </w:tc>
        <w:tc>
          <w:tcPr>
            <w:tcW w:type="dxa" w:w="2891"/>
          </w:tcPr>
          <w:p>
            <w:pPr>
              <w:pStyle w:val="Compact"/>
              <w:keepNext w:val="0"/>
              <w:keepLines/>
              <w:spacing w:before="60" w:after="60" w:line="264" w:lineRule="auto"/>
              <w:jc w:val="left"/>
            </w:pPr>
            <w:r>
              <w:rPr>
                <w:sz w:val="19"/>
              </w:rPr>
              <w:t>经验较多、用时较短</w:t>
            </w:r>
          </w:p>
        </w:tc>
        <w:tc>
          <w:tcPr>
            <w:tcW w:type="dxa" w:w="1134"/>
          </w:tcPr>
          <w:p>
            <w:pPr>
              <w:pStyle w:val="Compact"/>
              <w:keepNext w:val="0"/>
              <w:keepLines/>
              <w:spacing w:before="60" w:after="60" w:line="264" w:lineRule="auto"/>
              <w:jc w:val="left"/>
            </w:pPr>
            <w:r>
              <w:rPr>
                <w:sz w:val="19"/>
              </w:rPr>
              <w:t>93</w:t>
            </w:r>
          </w:p>
        </w:tc>
        <w:tc>
          <w:tcPr>
            <w:tcW w:type="dxa" w:w="2211"/>
          </w:tcPr>
          <w:p>
            <w:pPr>
              <w:pStyle w:val="Compact"/>
              <w:keepNext w:val="0"/>
              <w:keepLines/>
              <w:spacing w:before="60" w:after="60" w:line="264" w:lineRule="auto"/>
              <w:jc w:val="left"/>
            </w:pPr>
            <w:r>
              <w:rPr>
                <w:sz w:val="19"/>
              </w:rPr>
              <w:t>约 112 秒</w:t>
            </w:r>
          </w:p>
        </w:tc>
      </w:tr>
      <w:tr>
        <w:trPr>
          <w:cantSplit/>
        </w:trPr>
        <w:tc>
          <w:tcPr>
            <w:tcW w:type="dxa" w:w="3288"/>
          </w:tcPr>
          <w:p>
            <w:pPr>
              <w:pStyle w:val="Compact"/>
              <w:keepNext w:val="0"/>
              <w:keepLines/>
              <w:spacing w:before="60" w:after="60" w:line="264" w:lineRule="auto"/>
              <w:jc w:val="left"/>
            </w:pPr>
            <w:r>
              <w:rPr>
                <w:sz w:val="19"/>
              </w:rPr>
              <w:t>Hasty amateurs，匆忙新手</w:t>
            </w:r>
          </w:p>
        </w:tc>
        <w:tc>
          <w:tcPr>
            <w:tcW w:type="dxa" w:w="2891"/>
          </w:tcPr>
          <w:p>
            <w:pPr>
              <w:pStyle w:val="Compact"/>
              <w:keepNext w:val="0"/>
              <w:keepLines/>
              <w:spacing w:before="60" w:after="60" w:line="264" w:lineRule="auto"/>
              <w:jc w:val="left"/>
            </w:pPr>
            <w:r>
              <w:rPr>
                <w:sz w:val="19"/>
              </w:rPr>
              <w:t>经验较少、用时较短</w:t>
            </w:r>
          </w:p>
        </w:tc>
        <w:tc>
          <w:tcPr>
            <w:tcW w:type="dxa" w:w="1134"/>
          </w:tcPr>
          <w:p>
            <w:pPr>
              <w:pStyle w:val="Compact"/>
              <w:keepNext w:val="0"/>
              <w:keepLines/>
              <w:spacing w:before="60" w:after="60" w:line="264" w:lineRule="auto"/>
              <w:jc w:val="left"/>
            </w:pPr>
            <w:r>
              <w:rPr>
                <w:sz w:val="19"/>
              </w:rPr>
              <w:t>47</w:t>
            </w:r>
          </w:p>
        </w:tc>
        <w:tc>
          <w:tcPr>
            <w:tcW w:type="dxa" w:w="2211"/>
          </w:tcPr>
          <w:p>
            <w:pPr>
              <w:pStyle w:val="Compact"/>
              <w:keepNext w:val="0"/>
              <w:keepLines/>
              <w:spacing w:before="60" w:after="60" w:line="264" w:lineRule="auto"/>
              <w:jc w:val="left"/>
            </w:pPr>
            <w:r>
              <w:rPr>
                <w:sz w:val="19"/>
              </w:rPr>
              <w:t>约 104 秒</w:t>
            </w:r>
          </w:p>
        </w:tc>
      </w:tr>
      <w:tr>
        <w:trPr>
          <w:cantSplit/>
        </w:trPr>
        <w:tc>
          <w:tcPr>
            <w:tcW w:type="dxa" w:w="3288"/>
          </w:tcPr>
          <w:p>
            <w:pPr>
              <w:pStyle w:val="Compact"/>
              <w:keepNext w:val="0"/>
              <w:keepLines/>
              <w:spacing w:before="60" w:after="60" w:line="264" w:lineRule="auto"/>
              <w:jc w:val="left"/>
            </w:pPr>
            <w:r>
              <w:rPr>
                <w:sz w:val="19"/>
              </w:rPr>
              <w:t>Casual novices，从容新手</w:t>
            </w:r>
          </w:p>
        </w:tc>
        <w:tc>
          <w:tcPr>
            <w:tcW w:type="dxa" w:w="2891"/>
          </w:tcPr>
          <w:p>
            <w:pPr>
              <w:pStyle w:val="Compact"/>
              <w:keepNext w:val="0"/>
              <w:keepLines/>
              <w:spacing w:before="60" w:after="60" w:line="264" w:lineRule="auto"/>
              <w:jc w:val="left"/>
            </w:pPr>
            <w:r>
              <w:rPr>
                <w:sz w:val="19"/>
              </w:rPr>
              <w:t>经验较少、用时较长</w:t>
            </w:r>
          </w:p>
        </w:tc>
        <w:tc>
          <w:tcPr>
            <w:tcW w:type="dxa" w:w="1134"/>
          </w:tcPr>
          <w:p>
            <w:pPr>
              <w:pStyle w:val="Compact"/>
              <w:keepNext w:val="0"/>
              <w:keepLines/>
              <w:spacing w:before="60" w:after="60" w:line="264" w:lineRule="auto"/>
              <w:jc w:val="left"/>
            </w:pPr>
            <w:r>
              <w:rPr>
                <w:sz w:val="19"/>
              </w:rPr>
              <w:t>48</w:t>
            </w:r>
          </w:p>
        </w:tc>
        <w:tc>
          <w:tcPr>
            <w:tcW w:type="dxa" w:w="2211"/>
          </w:tcPr>
          <w:p>
            <w:pPr>
              <w:pStyle w:val="Compact"/>
              <w:keepNext w:val="0"/>
              <w:keepLines/>
              <w:spacing w:before="60" w:after="60" w:line="264" w:lineRule="auto"/>
              <w:jc w:val="left"/>
            </w:pPr>
            <w:r>
              <w:rPr>
                <w:sz w:val="19"/>
              </w:rPr>
              <w:t>约 311 秒</w:t>
            </w:r>
          </w:p>
        </w:tc>
      </w:tr>
      <w:tr>
        <w:trPr>
          <w:cantSplit/>
        </w:trPr>
        <w:tc>
          <w:tcPr>
            <w:tcW w:type="dxa" w:w="3288"/>
          </w:tcPr>
          <w:p>
            <w:pPr>
              <w:pStyle w:val="Compact"/>
              <w:keepNext w:val="0"/>
              <w:keepLines/>
              <w:spacing w:before="60" w:after="60" w:line="264" w:lineRule="auto"/>
              <w:jc w:val="left"/>
            </w:pPr>
            <w:r>
              <w:rPr>
                <w:sz w:val="19"/>
              </w:rPr>
              <w:t>Relaxed professionals，从容熟手</w:t>
            </w:r>
          </w:p>
        </w:tc>
        <w:tc>
          <w:tcPr>
            <w:tcW w:type="dxa" w:w="2891"/>
          </w:tcPr>
          <w:p>
            <w:pPr>
              <w:pStyle w:val="Compact"/>
              <w:keepNext w:val="0"/>
              <w:keepLines/>
              <w:spacing w:before="60" w:after="60" w:line="264" w:lineRule="auto"/>
              <w:jc w:val="left"/>
            </w:pPr>
            <w:r>
              <w:rPr>
                <w:sz w:val="19"/>
              </w:rPr>
              <w:t>经验较多、用时较长</w:t>
            </w:r>
          </w:p>
        </w:tc>
        <w:tc>
          <w:tcPr>
            <w:tcW w:type="dxa" w:w="1134"/>
          </w:tcPr>
          <w:p>
            <w:pPr>
              <w:pStyle w:val="Compact"/>
              <w:keepNext w:val="0"/>
              <w:keepLines/>
              <w:spacing w:before="60" w:after="60" w:line="264" w:lineRule="auto"/>
              <w:jc w:val="left"/>
            </w:pPr>
            <w:r>
              <w:rPr>
                <w:sz w:val="19"/>
              </w:rPr>
              <w:t>94</w:t>
            </w:r>
          </w:p>
        </w:tc>
        <w:tc>
          <w:tcPr>
            <w:tcW w:type="dxa" w:w="2211"/>
          </w:tcPr>
          <w:p>
            <w:pPr>
              <w:pStyle w:val="Compact"/>
              <w:keepNext w:val="0"/>
              <w:keepLines/>
              <w:spacing w:before="60" w:after="60" w:line="264" w:lineRule="auto"/>
              <w:jc w:val="left"/>
            </w:pPr>
            <w:r>
              <w:rPr>
                <w:sz w:val="19"/>
              </w:rPr>
              <w:t>约 513 秒</w:t>
            </w:r>
          </w:p>
        </w:tc>
      </w:tr>
    </w:tbl>
    <w:p>
      <w:pPr>
        <w:pStyle w:val="BodyText"/>
      </w:pPr>
      <w:r>
        <w:rPr>
          <w:bCs/>
          <w:b/>
        </w:rPr>
        <w:t>主要结果。</w:t>
      </w:r>
      <w:r>
        <w:t xml:space="preserve"> </w:t>
      </w:r>
      <w:r>
        <w:t>各组在搜索和信息处理方式上有所不同：有经验者在部分比较中更多使用排序、照片或评论，较少依赖广告线索；经验较少者更常使用价格过滤，搜索路径也较分散。不同类型仍然常采取“足够好就停止”的策略；有经验者虽然具备使用高级功能的能力，也可能只凭简单搜索和评论完成选择。并非所有组间差异都显著，部分搜索假设只得到部分支持。</w:t>
      </w:r>
    </w:p>
    <w:p>
      <w:pPr>
        <w:pStyle w:val="BodyText"/>
      </w:pPr>
      <w:r>
        <w:rPr>
          <w:bCs/>
          <w:b/>
        </w:rPr>
        <w:t>局限与解读。</w:t>
      </w:r>
      <w:r>
        <w:t xml:space="preserve"> </w:t>
      </w:r>
      <w:r>
        <w:t>研究用实际任务时长作为时间压力的间接指标，并未随机施加时间压力。因此，不能把“用时短”直接解释成“因为赶时间”，也不能从分组结果推出时间压力的因果效应。点击流能显示进入了哪些页面，却不能准确知道用户注意了什么、为什么停止。该任务也没有实际支付、共同协商或就餐后的满意度测量。</w:t>
      </w:r>
    </w:p>
    <w:p>
      <w:pPr>
        <w:pStyle w:val="BodyText"/>
      </w:pPr>
      <w:r>
        <w:rPr>
          <w:bCs/>
          <w:b/>
        </w:rPr>
        <w:t>对项目的启发（待验证）。</w:t>
      </w:r>
      <w:r>
        <w:t xml:space="preserve"> </w:t>
      </w:r>
      <w:r>
        <w:t>这篇最贴近老师提出的“最终为什么决定”。可以借鉴其方法，在真实外卖选择后回看浏览记录，追问最终一两次操作为什么足够。快可能意味着熟练，也可能意味着放弃比较；慢可能意味着困难，也可能意味着主动探索，单看时长无法区分。</w:t>
      </w:r>
    </w:p>
    <w:bookmarkEnd w:id="36"/>
    <w:bookmarkStart w:id="38" w:name="Xba6d38d760d8b65a66d724dbdb7f9e84d7e47ed"/>
    <w:p>
      <w:pPr>
        <w:pStyle w:val="Heading3"/>
      </w:pPr>
      <w:r>
        <w:t>[8] 食物呈现方式如何影响选择冲突</w:t>
      </w:r>
    </w:p>
    <w:p>
      <w:pPr>
        <w:pStyle w:val="FirstParagraph"/>
        <w:keepNext/>
        <w:keepLines/>
      </w:pPr>
      <w:r>
        <w:rPr>
          <w:bCs/>
          <w:b/>
        </w:rPr>
        <w:t>原题：</w:t>
      </w:r>
      <w:r>
        <w:t xml:space="preserve"> </w:t>
      </w:r>
      <w:r>
        <w:t>A picture is worth a thousand words: Framing of food choice options affects decision conflict and mid-fontal theta in food choice task</w:t>
      </w:r>
      <w:r>
        <w:br/>
      </w:r>
      <w:r>
        <w:rPr>
          <w:bCs/>
          <w:b/>
        </w:rPr>
        <w:t>作者与出处：</w:t>
      </w:r>
      <w:r>
        <w:t xml:space="preserve"> </w:t>
      </w:r>
      <w:r>
        <w:t>Johanna Kruse、Ulrike Senftleben、Stefan Scherbaum、Franziska M. Korb；2024；Appetite，201，107616。</w:t>
      </w:r>
      <w:r>
        <w:br/>
      </w:r>
      <w:r>
        <w:rPr>
          <w:bCs/>
          <w:b/>
        </w:rPr>
        <w:t>DOI：</w:t>
      </w:r>
      <w:r>
        <w:t xml:space="preserve"> </w:t>
      </w:r>
      <w:hyperlink r:id="rId37">
        <w:r>
          <w:rPr>
            <w:rStyle w:val="Hyperlink"/>
          </w:rPr>
          <w:t xml:space="preserve">https://doi.org/10.1016/j.appet.2024.107616</w:t>
        </w:r>
      </w:hyperlink>
      <w:r>
        <w:br/>
      </w:r>
      <w:r>
        <w:rPr>
          <w:bCs/>
          <w:b/>
        </w:rPr>
        <w:t>阅读依据：</w:t>
      </w:r>
      <w:r>
        <w:t xml:space="preserve"> </w:t>
      </w:r>
      <w:r>
        <w:t>本地 PDF，重点为第 3–7 页的方法、行为结果、EEG 结果与讨论。英文题名中的 “mid-fontal” 按原文保留。</w:t>
      </w:r>
    </w:p>
    <w:p>
      <w:pPr>
        <w:pStyle w:val="BodyText"/>
      </w:pPr>
      <w:r>
        <w:rPr>
          <w:bCs/>
          <w:b/>
        </w:rPr>
        <w:t>研究问题。</w:t>
      </w:r>
      <w:r>
        <w:t xml:space="preserve"> </w:t>
      </w:r>
      <w:r>
        <w:t>人们是在对健康和好吃进行抽象权衡，还是食物图片会引发不同的选择冲突？</w:t>
      </w:r>
    </w:p>
    <w:p>
      <w:pPr>
        <w:pStyle w:val="BodyText"/>
      </w:pPr>
      <w:r>
        <w:rPr>
          <w:bCs/>
          <w:b/>
        </w:rPr>
        <w:t>方法。</w:t>
      </w:r>
      <w:r>
        <w:t xml:space="preserve"> </w:t>
      </w:r>
      <w:r>
        <w:t>招募 28 人，排除后分析 26 人。参与者先把食物图片与自己认为的健康／好吃程度对应起来，再在两种呈现方式下完成二选一：真实食物图片，或“健康程度、好吃程度”的百分比文字。采用被试内设计，记录选择、反应时间和脑电中的额中区 theta 活动。实验中的百分比来自参与者主观对应，不是食品营养检测结果。</w:t>
      </w:r>
    </w:p>
    <w:p>
      <w:pPr>
        <w:pStyle w:val="BodyText"/>
      </w:pPr>
      <w:r>
        <w:rPr>
          <w:bCs/>
          <w:b/>
        </w:rPr>
        <w:t>主要结果。</w:t>
      </w:r>
      <w:r>
        <w:t xml:space="preserve"> </w:t>
      </w:r>
      <w:r>
        <w:t>图片条件下的选择更快，平均约 1.00 秒，文字条件约 1.62 秒；但图片条件下选择较健康选项的比例也更低，分别约为 14.16% 和 22.50%。选择健康项、面对更难的比较时，反应一般更慢。脑电分析中，较健康选择及较难选择对应更高 theta 功率的现象出现在图片条件，文本条件未发现相同的显著差异。</w:t>
      </w:r>
    </w:p>
    <w:p>
      <w:pPr>
        <w:pStyle w:val="BodyText"/>
      </w:pPr>
      <w:r>
        <w:rPr>
          <w:bCs/>
          <w:b/>
        </w:rPr>
        <w:t>解释。</w:t>
      </w:r>
      <w:r>
        <w:t xml:space="preserve"> </w:t>
      </w:r>
      <w:r>
        <w:t>呈现形式可能改变情绪反应、注意方向或比较策略，因此界面不只是中性地传递相同信息。作者讨论了不同可能机制，没有把神经信号直接当作某一种心理过程的唯一证明。</w:t>
      </w:r>
    </w:p>
    <w:p>
      <w:pPr>
        <w:pStyle w:val="BodyText"/>
      </w:pPr>
      <w:r>
        <w:rPr>
          <w:bCs/>
          <w:b/>
        </w:rPr>
        <w:t>局限与解读。</w:t>
      </w:r>
      <w:r>
        <w:t xml:space="preserve"> </w:t>
      </w:r>
      <w:r>
        <w:t>样本小，任务高度控制，抽象百分比不同于真实菜单。研究没有充分控制饥饿程度，也不是实际下单或长期饮食干预。它比较的是图片与抽象属性文本，不能直接推导为“在美团图片上加健康标签必然有效”。</w:t>
      </w:r>
    </w:p>
    <w:p>
      <w:pPr>
        <w:pStyle w:val="BodyText"/>
      </w:pPr>
      <w:r>
        <w:rPr>
          <w:bCs/>
          <w:b/>
        </w:rPr>
        <w:t>对项目的启发（待验证）。</w:t>
      </w:r>
      <w:r>
        <w:t xml:space="preserve"> </w:t>
      </w:r>
      <w:r>
        <w:t>更快决定与更健康地吃饭可能不是同一目标。若你们要比较大图卡片和属性卡片，应先明确目标，并同时看时间、选择结果与用户是否认可；不能只因点击更快就宣称体验更好。</w:t>
      </w:r>
    </w:p>
    <w:bookmarkEnd w:id="38"/>
    <w:bookmarkStart w:id="40" w:name="X9a83377538d8d1a4ad2e970b89c04041635f94e"/>
    <w:p>
      <w:pPr>
        <w:pStyle w:val="Heading3"/>
      </w:pPr>
      <w:r>
        <w:t>[9] 食品选择中的后悔理论与随机后悔最小化模型</w:t>
      </w:r>
    </w:p>
    <w:p>
      <w:pPr>
        <w:pStyle w:val="FirstParagraph"/>
        <w:keepNext/>
        <w:keepLines/>
      </w:pPr>
      <w:r>
        <w:rPr>
          <w:bCs/>
          <w:b/>
        </w:rPr>
        <w:t>原题：</w:t>
      </w:r>
      <w:r>
        <w:t xml:space="preserve"> </w:t>
      </w:r>
      <w:r>
        <w:t>Regret Theory as an Alternative Framework in Consumer Food Choice: an Application of the Random Regret Minimization Model</w:t>
      </w:r>
      <w:r>
        <w:br/>
      </w:r>
      <w:r>
        <w:rPr>
          <w:bCs/>
          <w:b/>
        </w:rPr>
        <w:t>作者与出处：</w:t>
      </w:r>
      <w:r>
        <w:t xml:space="preserve"> </w:t>
      </w:r>
      <w:r>
        <w:t>Beatrice Biondi；2019；博洛尼亚大学博士论文。</w:t>
      </w:r>
      <w:r>
        <w:br/>
      </w:r>
      <w:r>
        <w:rPr>
          <w:bCs/>
          <w:b/>
        </w:rPr>
        <w:t>DOI：</w:t>
      </w:r>
      <w:r>
        <w:t xml:space="preserve"> </w:t>
      </w:r>
      <w:hyperlink r:id="rId39">
        <w:r>
          <w:rPr>
            <w:rStyle w:val="Hyperlink"/>
          </w:rPr>
          <w:t xml:space="preserve">https://doi.org/10.6092/unibo/amsdottorato/8826</w:t>
        </w:r>
      </w:hyperlink>
      <w:r>
        <w:br/>
      </w:r>
      <w:r>
        <w:rPr>
          <w:bCs/>
          <w:b/>
        </w:rPr>
        <w:t>阅读依据：</w:t>
      </w:r>
      <w:r>
        <w:t xml:space="preserve"> </w:t>
      </w:r>
      <w:r>
        <w:t>本地 146 页 PDF；重点阅读第 3–13、18、81–87、109–115 页，包括摘要、理论框架、实证设计、讨论与结论。</w:t>
      </w:r>
    </w:p>
    <w:p>
      <w:pPr>
        <w:pStyle w:val="BodyText"/>
      </w:pPr>
      <w:r>
        <w:rPr>
          <w:bCs/>
          <w:b/>
        </w:rPr>
        <w:t>研究问题。</w:t>
      </w:r>
      <w:r>
        <w:t xml:space="preserve"> </w:t>
      </w:r>
      <w:r>
        <w:t>人们选食物时，是否除了追求总体效用，也会考虑“如果没选的那个在某方面更好，我会不会后悔”？后悔最小化能否补充传统的效用最大化模型？</w:t>
      </w:r>
    </w:p>
    <w:p>
      <w:pPr>
        <w:pStyle w:val="BodyText"/>
      </w:pPr>
      <w:r>
        <w:rPr>
          <w:bCs/>
          <w:b/>
        </w:rPr>
        <w:t>内容结构。</w:t>
      </w:r>
      <w:r>
        <w:t xml:space="preserve"> </w:t>
      </w:r>
      <w:r>
        <w:t>前半部分综述食品选择中的感官、价格、健康、便利、可持续性和人际关系等价值，以及效用、启发式、损失厌恶和后悔理论；后半部分比较随机效用最大化模型（RUM）与随机后悔最小化模型（RRM）。其中，RRM 是“未选方案在某些属性上更好时，预期遗憾如何影响选择”的行为模型，不是让系统随机抽取结果。</w:t>
      </w:r>
    </w:p>
    <w:p>
      <w:pPr>
        <w:pStyle w:val="BodyText"/>
      </w:pPr>
      <w:r>
        <w:rPr>
          <w:bCs/>
          <w:b/>
        </w:rPr>
        <w:t>方法。</w:t>
      </w:r>
      <w:r>
        <w:t xml:space="preserve"> </w:t>
      </w:r>
      <w:r>
        <w:t>300 名瓦赫宁根大学学生参与奶酪选择实验，情境为给朋友聚会准备奶酪。每人完成 10 组三选一，属性包括质量、价格、保质期和包装可持续性。研究还测量后悔敏感度、获得他人接纳的需要以及促进／预防取向；先要求选择，再询问若允许推迟购买，是否仍会确认该选择。</w:t>
      </w:r>
    </w:p>
    <w:p>
      <w:pPr>
        <w:pStyle w:val="BodyText"/>
      </w:pPr>
      <w:r>
        <w:rPr>
          <w:bCs/>
          <w:b/>
        </w:rPr>
        <w:t>主要结果。</w:t>
      </w:r>
      <w:r>
        <w:t xml:space="preserve"> </w:t>
      </w:r>
      <w:r>
        <w:t>在基础多项 Logit 模型中，RUM 与 RRM 的拟合和预测能力相近；在允许个体差异的混合 Logit 模型中，RRM 拟合更好。部分人格子组中也出现 RRM 拟合占优，但预测表现未相应明显改善；潜在类别模型没有进一步确认这些心理特征能稳定决定使用哪种规则。对确认会购买而不延期的选择，RUM 表现更好。</w:t>
      </w:r>
    </w:p>
    <w:p>
      <w:pPr>
        <w:pStyle w:val="BodyText"/>
      </w:pPr>
      <w:r>
        <w:rPr>
          <w:bCs/>
          <w:b/>
        </w:rPr>
        <w:t>局限与解读。</w:t>
      </w:r>
      <w:r>
        <w:t xml:space="preserve"> </w:t>
      </w:r>
      <w:r>
        <w:t>不能把这些结果写成“人们选择食物都是为了减少后悔”，也不能把模型拟合更好等同于证明真实心理机制。实验是学生对假想奶酪的选择，外推到餐馆或外卖需要验证。虽然情境涉及朋友，实际决策仍由个人完成。</w:t>
      </w:r>
    </w:p>
    <w:p>
      <w:pPr>
        <w:pStyle w:val="BodyText"/>
      </w:pPr>
      <w:r>
        <w:rPr>
          <w:bCs/>
          <w:b/>
        </w:rPr>
        <w:t>对项目的启发（待验证）。</w:t>
      </w:r>
      <w:r>
        <w:t xml:space="preserve"> </w:t>
      </w:r>
      <w:r>
        <w:t>访谈不仅可以问“你想得到什么”，也可以问“你最怕选完后发生什么”。例如担心买贵、不好吃或被同伴评价，都可能成为研究线索；这些具体原因应由你们自己的参与者讲出来，不应预设。原型可研究如何帮助用户理解取舍与确认选择，但不要通过放大后悔来催促下单。</w:t>
      </w:r>
    </w:p>
    <w:bookmarkEnd w:id="40"/>
    <w:bookmarkStart w:id="42" w:name="Xca4f23818df72eac7206ebc43ae11902186d413"/>
    <w:p>
      <w:pPr>
        <w:pStyle w:val="Heading3"/>
      </w:pPr>
      <w:r>
        <w:t>[10] 超越选择的自由：规范经济学中承诺价值的研究</w:t>
      </w:r>
    </w:p>
    <w:p>
      <w:pPr>
        <w:pStyle w:val="FirstParagraph"/>
        <w:keepNext/>
        <w:keepLines/>
      </w:pPr>
      <w:r>
        <w:rPr>
          <w:bCs/>
          <w:b/>
        </w:rPr>
        <w:t>原题：</w:t>
      </w:r>
      <w:r>
        <w:t xml:space="preserve"> </w:t>
      </w:r>
      <w:r>
        <w:t>Freedom Beyond Choice: Essays on the Value of Commitments in Normative Economics</w:t>
      </w:r>
      <w:r>
        <w:br/>
      </w:r>
      <w:r>
        <w:rPr>
          <w:bCs/>
          <w:b/>
        </w:rPr>
        <w:t>作者与出处：</w:t>
      </w:r>
      <w:r>
        <w:t xml:space="preserve"> </w:t>
      </w:r>
      <w:r>
        <w:t>Kevin Leportier；2023；巴黎第一大学博士论文，2023 年 11 月 27 日答辩。HAL 收录日期为 2024 年 5 月 28 日。</w:t>
      </w:r>
      <w:r>
        <w:br/>
      </w:r>
      <w:r>
        <w:rPr>
          <w:bCs/>
          <w:b/>
        </w:rPr>
        <w:t>公开记录：</w:t>
      </w:r>
      <w:r>
        <w:t xml:space="preserve"> </w:t>
      </w:r>
      <w:hyperlink r:id="rId41">
        <w:r>
          <w:rPr>
            <w:rStyle w:val="Hyperlink"/>
          </w:rPr>
          <w:t xml:space="preserve">https://theses.hal.science/tel-04590306v1</w:t>
        </w:r>
      </w:hyperlink>
      <w:r>
        <w:br/>
      </w:r>
      <w:r>
        <w:rPr>
          <w:bCs/>
          <w:b/>
        </w:rPr>
        <w:t>阅读依据：</w:t>
      </w:r>
      <w:r>
        <w:t xml:space="preserve"> </w:t>
      </w:r>
      <w:r>
        <w:t>本地 237 页 PDF；重点为第 1–2、6–9、26–29、32–34、73–76、166、190–191、194–197 页的题录、导论、章节概述、相关论证和总论。</w:t>
      </w:r>
    </w:p>
    <w:p>
      <w:pPr>
        <w:pStyle w:val="BodyText"/>
      </w:pPr>
      <w:r>
        <w:rPr>
          <w:bCs/>
          <w:b/>
        </w:rPr>
        <w:t>研究问题。</w:t>
      </w:r>
      <w:r>
        <w:t xml:space="preserve"> </w:t>
      </w:r>
      <w:r>
        <w:t>更多可选机会是否必然意味着更好的自由？当一个人自愿限制未来选择、委托他人决定或使用承诺装置时，如何评价这种行为？</w:t>
      </w:r>
    </w:p>
    <w:p>
      <w:pPr>
        <w:pStyle w:val="BodyText"/>
      </w:pPr>
      <w:r>
        <w:rPr>
          <w:bCs/>
          <w:b/>
        </w:rPr>
        <w:t>方法与结构。</w:t>
      </w:r>
      <w:r>
        <w:t xml:space="preserve"> </w:t>
      </w:r>
      <w:r>
        <w:t>这是一篇规范经济学与哲学论证性质的博士论文，不是关于外卖的用户实验。五章分别讨论市场与利他机会、紧急情境中的自由、理性主体与家长主义、机会评价与偏好的冲突，以及自我约束装置。</w:t>
      </w:r>
    </w:p>
    <w:p>
      <w:pPr>
        <w:pStyle w:val="BodyText"/>
      </w:pPr>
      <w:r>
        <w:rPr>
          <w:bCs/>
          <w:b/>
        </w:rPr>
        <w:t>主要论点。</w:t>
      </w:r>
      <w:r>
        <w:t xml:space="preserve"> </w:t>
      </w:r>
      <w:r>
        <w:t>作者区分“没有选择”和“选择不再选择”：前者可能是拖延或回到默认项，后者是主动改变未来的选择空间。注意力有限、自我控制或策略互动等情形下，人可能有理由偏好承诺。仅以机会数量评价福利，可能忽视人们不想持续选择的偏好；但以“为你好”为名的干预，也需要说明尊重了谁的目标、采用了什么自由观。</w:t>
      </w:r>
    </w:p>
    <w:p>
      <w:pPr>
        <w:pStyle w:val="BodyText"/>
      </w:pPr>
      <w:r>
        <w:t>论文并非无条件支持任何自我约束。第五章还批评某些带有物质惩罚、难以退出的强承诺装置，并讨论自我助推与自我管理能力的价值。把它概括成“用户不想选，所以系统可以替他锁定结果”会失去这一重要区分。</w:t>
      </w:r>
    </w:p>
    <w:p>
      <w:pPr>
        <w:pStyle w:val="BodyText"/>
      </w:pPr>
      <w:r>
        <w:rPr>
          <w:bCs/>
          <w:b/>
        </w:rPr>
        <w:t>局限与解读。</w:t>
      </w:r>
      <w:r>
        <w:t xml:space="preserve"> </w:t>
      </w:r>
      <w:r>
        <w:t>这些是关于应当如何评价自由与干预的规范论证，没有提供某个饮食 App 能节省多少时间、改善多少满意度的经验结论。</w:t>
      </w:r>
    </w:p>
    <w:p>
      <w:pPr>
        <w:pStyle w:val="BodyText"/>
      </w:pPr>
      <w:r>
        <w:rPr>
          <w:bCs/>
          <w:b/>
        </w:rPr>
        <w:t>对项目的启发（待验证）。</w:t>
      </w:r>
      <w:r>
        <w:t xml:space="preserve"> </w:t>
      </w:r>
      <w:r>
        <w:t>它帮助回答老师的“产品价值立场”问题：系统究竟帮助用户实现健康目标、满足当前食欲，还是减少决策投入？用户主动委托与系统未经表达就替他决定，具有不同含义。是否需要“帮我决定”、如何确认委托范围以及保留多少调整空间，都应成为可讨论、可测试的设计问题。</w:t>
      </w:r>
    </w:p>
    <w:p>
      <w:pPr>
        <w:pStyle w:val="BodyText"/>
      </w:pPr>
      <w:r>
        <w:rPr>
          <w:bCs/>
          <w:b/>
        </w:rPr>
        <w:t>题录提示。</w:t>
      </w:r>
      <w:r>
        <w:t xml:space="preserve"> </w:t>
      </w:r>
      <w:r>
        <w:t>原始书目记录将其标为 journalArticle，且缺少年份。本总结依据 PDF 封面按 2023 年博士论文处理。</w:t>
      </w:r>
    </w:p>
    <w:bookmarkEnd w:id="42"/>
    <w:bookmarkStart w:id="44" w:name="X51ae3c87c71df7d110ff3abc1a09bbeafd9ed26"/>
    <w:p>
      <w:pPr>
        <w:pStyle w:val="Heading3"/>
      </w:pPr>
      <w:r>
        <w:t>[11] 对选择本身有所选择</w:t>
      </w:r>
    </w:p>
    <w:p>
      <w:pPr>
        <w:pStyle w:val="FirstParagraph"/>
        <w:keepNext/>
        <w:keepLines/>
      </w:pPr>
      <w:r>
        <w:rPr>
          <w:bCs/>
          <w:b/>
        </w:rPr>
        <w:t>原题：</w:t>
      </w:r>
      <w:r>
        <w:t xml:space="preserve"> </w:t>
      </w:r>
      <w:r>
        <w:t>Being Choosy About Choosing</w:t>
      </w:r>
      <w:r>
        <w:br/>
      </w:r>
      <w:r>
        <w:rPr>
          <w:bCs/>
          <w:b/>
        </w:rPr>
        <w:t>作者与出处：</w:t>
      </w:r>
      <w:r>
        <w:t xml:space="preserve"> </w:t>
      </w:r>
      <w:r>
        <w:t>Alexandra Kincannon；2015 年 8 月 31 日；APS Observer，28 卷。</w:t>
      </w:r>
      <w:r>
        <w:br/>
      </w:r>
      <w:r>
        <w:rPr>
          <w:bCs/>
          <w:b/>
        </w:rPr>
        <w:t>链接：</w:t>
      </w:r>
      <w:r>
        <w:t xml:space="preserve"> </w:t>
      </w:r>
      <w:hyperlink r:id="rId43">
        <w:r>
          <w:rPr>
            <w:rStyle w:val="Hyperlink"/>
          </w:rPr>
          <w:t xml:space="preserve">https://www.psychologicalscience.org/observer/being-choosy-about-choosing</w:t>
        </w:r>
      </w:hyperlink>
      <w:r>
        <w:br/>
      </w:r>
      <w:r>
        <w:rPr>
          <w:bCs/>
          <w:b/>
        </w:rPr>
        <w:t>阅读依据：</w:t>
      </w:r>
      <w:r>
        <w:t xml:space="preserve"> </w:t>
      </w:r>
      <w:r>
        <w:t>本地完整网页正文及其参考文献；属于对 2015 年 APS 年会报告的报道，不是独立的原始实验论文。</w:t>
      </w:r>
    </w:p>
    <w:p>
      <w:pPr>
        <w:pStyle w:val="BodyText"/>
      </w:pPr>
      <w:r>
        <w:rPr>
          <w:bCs/>
          <w:b/>
        </w:rPr>
        <w:t>主要内容。</w:t>
      </w:r>
      <w:r>
        <w:t xml:space="preserve"> </w:t>
      </w:r>
      <w:r>
        <w:t>文章介绍 Sheena Iyengar 对选择的讨论，串联果酱品类、退休投资、约会和重大医疗决策等案例，强调更多选择可能伴随信息处理和责任负担，选择自由的价值也取决于情境。</w:t>
      </w:r>
    </w:p>
    <w:p>
      <w:pPr>
        <w:pStyle w:val="BodyText"/>
      </w:pPr>
      <w:r>
        <w:rPr>
          <w:bCs/>
          <w:b/>
        </w:rPr>
        <w:t>与项目最相关的线索。</w:t>
      </w:r>
      <w:r>
        <w:t xml:space="preserve"> </w:t>
      </w:r>
      <w:r>
        <w:t>报道转述 Ariely 与 Levav（2000）的研究：公开依次点菜时，参与者会受到前面的人所点内容影响；私下选择时，更可能选相同菜品，且总体上更满意自己的选择；公开点菜情境中，先点者最满意。这提示表达顺序和自我呈现可能改变选择，而不只是把已有偏好原样说出来。</w:t>
      </w:r>
    </w:p>
    <w:p>
      <w:pPr>
        <w:pStyle w:val="BodyText"/>
      </w:pPr>
      <w:r>
        <w:rPr>
          <w:bCs/>
          <w:b/>
        </w:rPr>
        <w:t>局限与解读。</w:t>
      </w:r>
      <w:r>
        <w:t xml:space="preserve"> </w:t>
      </w:r>
      <w:r>
        <w:t>本次没有读取这项被转述研究的原文，不能核实其完整样本、各子实验、效应大小及边界；它也不能直接证明匿名 App 有效。文章涉及多种风险和情境差异很大的选择案例，不能把重大医疗决策的结果直接迁移到吃饭。</w:t>
      </w:r>
    </w:p>
    <w:p>
      <w:pPr>
        <w:pStyle w:val="BodyText"/>
      </w:pPr>
      <w:r>
        <w:rPr>
          <w:bCs/>
          <w:b/>
        </w:rPr>
        <w:t>对项目的启发（待验证）。</w:t>
      </w:r>
      <w:r>
        <w:t xml:space="preserve"> </w:t>
      </w:r>
      <w:r>
        <w:t>这是当前分类中与多人点菜表达较贴近的线索。你们可以观察：成员私下最初想点什么，听完其他人的选择后有没有改变，变化是主动协调还是不愿显得重复／难相处，以及最后是否满意。私下偏好与公开表达的差异本身也不自动等于不满。</w:t>
      </w:r>
    </w:p>
    <w:p>
      <w:pPr>
        <w:pStyle w:val="BodyText"/>
      </w:pPr>
      <w:r>
        <w:rPr>
          <w:bCs/>
          <w:b/>
        </w:rPr>
        <w:t>后续应追溯的原始文献。</w:t>
      </w:r>
      <w:r>
        <w:t xml:space="preserve"> </w:t>
      </w:r>
      <w:r>
        <w:t>Ariely, D., &amp; Levav, J. (2000). Sequential choice in group settings: Taking the road less traveled and less enjoyed. Journal of Consumer Research, 27, 279–290。该文是报道引用的研究，不属于本次分类中的独立第 12 篇已读文献。</w:t>
      </w:r>
    </w:p>
    <w:bookmarkEnd w:id="44"/>
    <w:bookmarkEnd w:id="45"/>
    <w:bookmarkStart w:id="49" w:name="四这些文献如何回应老师的反馈"/>
    <w:p>
      <w:pPr>
        <w:pStyle w:val="Heading2"/>
      </w:pPr>
      <w:r>
        <w:t>四、这些文献如何回应老师的反馈</w:t>
      </w:r>
    </w:p>
    <w:tbl>
      <w:tblPr>
        <w:tblStyle w:val="TableGrid"/>
        <w:tblW w:type="pct" w:w="0.0"/>
        <w:tblLayout w:type="fixed"/>
        <w:tblLook w:firstRow="1" w:lastRow="0" w:firstColumn="0" w:lastColumn="0" w:noHBand="0" w:noVBand="0" w:val="0020"/>
      </w:tblPr>
      <w:tblGrid/>
      <w:tr>
        <w:trPr>
          <w:cantSplit/>
          <w:tblHeader/>
        </w:trPr>
        <w:tc>
          <w:tcPr>
            <w:tcW w:type="dxa" w:w="2268"/>
            <w:shd w:fill="EAF0F4"/>
          </w:tcPr>
          <w:p>
            <w:pPr>
              <w:pStyle w:val="Compact"/>
              <w:keepNext/>
              <w:keepLines/>
              <w:spacing w:before="60" w:after="60" w:line="264" w:lineRule="auto"/>
              <w:jc w:val="left"/>
            </w:pPr>
            <w:r>
              <w:rPr>
                <w:b/>
                <w:sz w:val="19"/>
              </w:rPr>
              <w:t>老师提出的问题</w:t>
            </w:r>
          </w:p>
        </w:tc>
        <w:tc>
          <w:tcPr>
            <w:tcW w:type="dxa" w:w="3628"/>
            <w:shd w:fill="EAF0F4"/>
          </w:tcPr>
          <w:p>
            <w:pPr>
              <w:pStyle w:val="Compact"/>
              <w:keepNext/>
              <w:keepLines/>
              <w:spacing w:before="60" w:after="60" w:line="264" w:lineRule="auto"/>
              <w:jc w:val="left"/>
            </w:pPr>
            <w:r>
              <w:rPr>
                <w:b/>
                <w:sz w:val="19"/>
              </w:rPr>
              <w:t>当前材料能提供什么</w:t>
            </w:r>
          </w:p>
        </w:tc>
        <w:tc>
          <w:tcPr>
            <w:tcW w:type="dxa" w:w="3628"/>
            <w:shd w:fill="EAF0F4"/>
          </w:tcPr>
          <w:p>
            <w:pPr>
              <w:pStyle w:val="Compact"/>
              <w:keepNext/>
              <w:keepLines/>
              <w:spacing w:before="60" w:after="60" w:line="264" w:lineRule="auto"/>
              <w:jc w:val="left"/>
            </w:pPr>
            <w:r>
              <w:rPr>
                <w:b/>
                <w:sz w:val="19"/>
              </w:rPr>
              <w:t>仍需你们研究什么</w:t>
            </w:r>
          </w:p>
        </w:tc>
      </w:tr>
      <w:tr>
        <w:trPr>
          <w:cantSplit/>
        </w:trPr>
        <w:tc>
          <w:tcPr>
            <w:tcW w:type="dxa" w:w="2268"/>
          </w:tcPr>
          <w:p>
            <w:pPr>
              <w:pStyle w:val="Compact"/>
              <w:keepNext w:val="0"/>
              <w:keepLines/>
              <w:spacing w:before="60" w:after="60" w:line="264" w:lineRule="auto"/>
              <w:jc w:val="left"/>
            </w:pPr>
            <w:r>
              <w:rPr>
                <w:sz w:val="19"/>
              </w:rPr>
              <w:t>为什么选择很久，什么让用户最终决定？</w:t>
            </w:r>
          </w:p>
        </w:tc>
        <w:tc>
          <w:tcPr>
            <w:tcW w:type="dxa" w:w="3628"/>
          </w:tcPr>
          <w:p>
            <w:pPr>
              <w:pStyle w:val="Compact"/>
              <w:keepNext w:val="0"/>
              <w:keepLines/>
              <w:spacing w:before="60" w:after="60" w:line="264" w:lineRule="auto"/>
              <w:jc w:val="left"/>
            </w:pPr>
            <w:r>
              <w:rPr>
                <w:sz w:val="19"/>
              </w:rPr>
              <w:t>[1] 提供困难来源框架；[5] 展示属性优先规则；[7] 展示搜索路径；[9] 提供后悔视角</w:t>
            </w:r>
          </w:p>
        </w:tc>
        <w:tc>
          <w:tcPr>
            <w:tcW w:type="dxa" w:w="3628"/>
          </w:tcPr>
          <w:p>
            <w:pPr>
              <w:pStyle w:val="Compact"/>
              <w:keepNext w:val="0"/>
              <w:keepLines/>
              <w:spacing w:before="60" w:after="60" w:line="264" w:lineRule="auto"/>
              <w:jc w:val="left"/>
            </w:pPr>
            <w:r>
              <w:rPr>
                <w:sz w:val="19"/>
              </w:rPr>
              <w:t>在真实外卖过程中，具体是哪条信息、哪种情境变化或哪种取舍促成下单</w:t>
            </w:r>
          </w:p>
        </w:tc>
      </w:tr>
      <w:tr>
        <w:trPr>
          <w:cantSplit/>
        </w:trPr>
        <w:tc>
          <w:tcPr>
            <w:tcW w:type="dxa" w:w="2268"/>
          </w:tcPr>
          <w:p>
            <w:pPr>
              <w:pStyle w:val="Compact"/>
              <w:keepNext w:val="0"/>
              <w:keepLines/>
              <w:spacing w:before="60" w:after="60" w:line="264" w:lineRule="auto"/>
              <w:jc w:val="left"/>
            </w:pPr>
            <w:r>
              <w:rPr>
                <w:sz w:val="19"/>
              </w:rPr>
              <w:t>个人推荐的价值立场是什么？</w:t>
            </w:r>
          </w:p>
        </w:tc>
        <w:tc>
          <w:tcPr>
            <w:tcW w:type="dxa" w:w="3628"/>
          </w:tcPr>
          <w:p>
            <w:pPr>
              <w:pStyle w:val="Compact"/>
              <w:keepNext w:val="0"/>
              <w:keepLines/>
              <w:spacing w:before="60" w:after="60" w:line="264" w:lineRule="auto"/>
              <w:jc w:val="left"/>
            </w:pPr>
            <w:r>
              <w:rPr>
                <w:sz w:val="19"/>
              </w:rPr>
              <w:t>[8] 表明快与健康可能不一致；[10] 讨论主动委托与系统干预</w:t>
            </w:r>
          </w:p>
        </w:tc>
        <w:tc>
          <w:tcPr>
            <w:tcW w:type="dxa" w:w="3628"/>
          </w:tcPr>
          <w:p>
            <w:pPr>
              <w:pStyle w:val="Compact"/>
              <w:keepNext w:val="0"/>
              <w:keepLines/>
              <w:spacing w:before="60" w:after="60" w:line="264" w:lineRule="auto"/>
              <w:jc w:val="left"/>
            </w:pPr>
            <w:r>
              <w:rPr>
                <w:sz w:val="19"/>
              </w:rPr>
              <w:t>目标用户希望被满足、被提醒、获得新鲜感，还是尽快结束搜索</w:t>
            </w:r>
          </w:p>
        </w:tc>
      </w:tr>
      <w:tr>
        <w:trPr>
          <w:cantSplit/>
        </w:trPr>
        <w:tc>
          <w:tcPr>
            <w:tcW w:type="dxa" w:w="2268"/>
          </w:tcPr>
          <w:p>
            <w:pPr>
              <w:pStyle w:val="Compact"/>
              <w:keepNext w:val="0"/>
              <w:keepLines/>
              <w:spacing w:before="60" w:after="60" w:line="264" w:lineRule="auto"/>
              <w:jc w:val="left"/>
            </w:pPr>
            <w:r>
              <w:rPr>
                <w:sz w:val="19"/>
              </w:rPr>
              <w:t>很多选项是否必然是问题？</w:t>
            </w:r>
          </w:p>
        </w:tc>
        <w:tc>
          <w:tcPr>
            <w:tcW w:type="dxa" w:w="3628"/>
          </w:tcPr>
          <w:p>
            <w:pPr>
              <w:pStyle w:val="Compact"/>
              <w:keepNext w:val="0"/>
              <w:keepLines/>
              <w:spacing w:before="60" w:after="60" w:line="264" w:lineRule="auto"/>
              <w:jc w:val="left"/>
            </w:pPr>
            <w:r>
              <w:rPr>
                <w:sz w:val="19"/>
              </w:rPr>
              <w:t>[1] 与 [2] 表明结论依赖条件；[4] 表明小集合也可能难比较</w:t>
            </w:r>
          </w:p>
        </w:tc>
        <w:tc>
          <w:tcPr>
            <w:tcW w:type="dxa" w:w="3628"/>
          </w:tcPr>
          <w:p>
            <w:pPr>
              <w:pStyle w:val="Compact"/>
              <w:keepNext w:val="0"/>
              <w:keepLines/>
              <w:spacing w:before="60" w:after="60" w:line="264" w:lineRule="auto"/>
              <w:jc w:val="left"/>
            </w:pPr>
            <w:r>
              <w:rPr>
                <w:sz w:val="19"/>
              </w:rPr>
              <w:t>痛点主要来自数量、相似性、属性冲突，还是偏好不清楚</w:t>
            </w:r>
          </w:p>
        </w:tc>
      </w:tr>
      <w:tr>
        <w:trPr>
          <w:cantSplit/>
        </w:trPr>
        <w:tc>
          <w:tcPr>
            <w:tcW w:type="dxa" w:w="2268"/>
          </w:tcPr>
          <w:p>
            <w:pPr>
              <w:pStyle w:val="Compact"/>
              <w:keepNext w:val="0"/>
              <w:keepLines/>
              <w:spacing w:before="60" w:after="60" w:line="264" w:lineRule="auto"/>
              <w:jc w:val="left"/>
            </w:pPr>
            <w:r>
              <w:rPr>
                <w:sz w:val="19"/>
              </w:rPr>
              <w:t>“随便”是否意味着隐藏偏好？</w:t>
            </w:r>
          </w:p>
        </w:tc>
        <w:tc>
          <w:tcPr>
            <w:tcW w:type="dxa" w:w="3628"/>
          </w:tcPr>
          <w:p>
            <w:pPr>
              <w:pStyle w:val="Compact"/>
              <w:keepNext w:val="0"/>
              <w:keepLines/>
              <w:spacing w:before="60" w:after="60" w:line="264" w:lineRule="auto"/>
              <w:jc w:val="left"/>
            </w:pPr>
            <w:r>
              <w:rPr>
                <w:sz w:val="19"/>
              </w:rPr>
              <w:t>[11] 提供表达情境改变选择的间接线索；[9] 涉及社会评价</w:t>
            </w:r>
          </w:p>
        </w:tc>
        <w:tc>
          <w:tcPr>
            <w:tcW w:type="dxa" w:w="3628"/>
          </w:tcPr>
          <w:p>
            <w:pPr>
              <w:pStyle w:val="Compact"/>
              <w:keepNext w:val="0"/>
              <w:keepLines/>
              <w:spacing w:before="60" w:after="60" w:line="264" w:lineRule="auto"/>
              <w:jc w:val="left"/>
            </w:pPr>
            <w:r>
              <w:rPr>
                <w:sz w:val="19"/>
              </w:rPr>
              <w:t>哪些人确实无偏好，哪些在礼让、避责、顾虑预算或担心否定别人</w:t>
            </w:r>
          </w:p>
        </w:tc>
      </w:tr>
      <w:tr>
        <w:trPr>
          <w:cantSplit/>
        </w:trPr>
        <w:tc>
          <w:tcPr>
            <w:tcW w:type="dxa" w:w="2268"/>
          </w:tcPr>
          <w:p>
            <w:pPr>
              <w:pStyle w:val="Compact"/>
              <w:keepNext w:val="0"/>
              <w:keepLines/>
              <w:spacing w:before="60" w:after="60" w:line="264" w:lineRule="auto"/>
              <w:jc w:val="left"/>
            </w:pPr>
            <w:r>
              <w:rPr>
                <w:sz w:val="19"/>
              </w:rPr>
              <w:t>软件表达是否比自然讨论更好？</w:t>
            </w:r>
          </w:p>
        </w:tc>
        <w:tc>
          <w:tcPr>
            <w:tcW w:type="dxa" w:w="3628"/>
          </w:tcPr>
          <w:p>
            <w:pPr>
              <w:pStyle w:val="Compact"/>
              <w:keepNext w:val="0"/>
              <w:keepLines/>
              <w:spacing w:before="60" w:after="60" w:line="264" w:lineRule="auto"/>
              <w:jc w:val="left"/>
            </w:pPr>
            <w:r>
              <w:rPr>
                <w:sz w:val="19"/>
              </w:rPr>
              <w:t>本分类没有直接验证该产品方案的研究</w:t>
            </w:r>
          </w:p>
        </w:tc>
        <w:tc>
          <w:tcPr>
            <w:tcW w:type="dxa" w:w="3628"/>
          </w:tcPr>
          <w:p>
            <w:pPr>
              <w:pStyle w:val="Compact"/>
              <w:keepNext w:val="0"/>
              <w:keepLines/>
              <w:spacing w:before="60" w:after="60" w:line="264" w:lineRule="auto"/>
              <w:jc w:val="left"/>
            </w:pPr>
            <w:r>
              <w:rPr>
                <w:sz w:val="19"/>
              </w:rPr>
              <w:t>操作成本、过程满意度、实际用餐满意度和意见被考虑的感觉是否改善</w:t>
            </w:r>
          </w:p>
        </w:tc>
      </w:tr>
    </w:tbl>
    <w:bookmarkStart w:id="46" w:name="对个人方向的研究建议"/>
    <w:p>
      <w:pPr>
        <w:pStyle w:val="Heading3"/>
      </w:pPr>
      <w:r>
        <w:t>对个人方向的研究建议</w:t>
      </w:r>
    </w:p>
    <w:p>
      <w:pPr>
        <w:pStyle w:val="FirstParagraph"/>
      </w:pPr>
      <w:r>
        <w:t>先记录一次完整的真实决策，而不是只问用户平时觉得自己“选择困难吗”。可记录开始时是否想马上下单、最初想吃什么、浏览和返回了哪些候选、哪些条件让候选被排除、最终下单前发生了什么，再在吃完后回访满意度与后悔。点击记录适合发现行为模式，简短的事后回放访谈用于理解原因，二者互相补充。</w:t>
      </w:r>
    </w:p>
    <w:p>
      <w:pPr>
        <w:pStyle w:val="BodyText"/>
      </w:pPr>
      <w:r>
        <w:t>如果多数问题集中于“已找到可接受方案，却总怕还有更好的”，可以进一步研究停止搜索的支持；如果集中于“看不出几家之间有什么区别”，则研究比较方式；如果用户其实享受探索，不应把浏览时长一律优化掉。这些方向需要由本地观察决定。</w:t>
      </w:r>
    </w:p>
    <w:bookmarkEnd w:id="46"/>
    <w:bookmarkStart w:id="47" w:name="对多人方向的研究建议"/>
    <w:p>
      <w:pPr>
        <w:pStyle w:val="Heading3"/>
      </w:pPr>
      <w:r>
        <w:t>对多人方向的研究建议</w:t>
      </w:r>
    </w:p>
    <w:p>
      <w:pPr>
        <w:pStyle w:val="FirstParagraph"/>
      </w:pPr>
      <w:r>
        <w:t>当前证据不足以在个人与多人方向之间作最终选择。若继续研究多人，先区分选餐馆、各自点一道菜和共享菜品三个任务，因为利益分配和协调方式不同。自然讨论应作为基线，先观察表达顺序、提议与否定、未说出的限制、谁承担责任，以及各成员的实际感受。</w:t>
      </w:r>
    </w:p>
    <w:p>
      <w:pPr>
        <w:pStyle w:val="BodyText"/>
      </w:pPr>
      <w:r>
        <w:t>之后才考虑对比私下表达后讨论、轮流决定或软件汇总等方式。应以整组聚餐为主要比较单位，同时保留个人评价，避免用平均满意度掩盖某一成员很不满意。软件所需的进入、邀请和填写时间也要计入决策成本。只有真实过程和结果改善，才能支持产品方案，而不仅是“大家都能填完表”。</w:t>
      </w:r>
    </w:p>
    <w:bookmarkEnd w:id="47"/>
    <w:bookmarkStart w:id="48" w:name="可借鉴的评价维度"/>
    <w:p>
      <w:pPr>
        <w:pStyle w:val="Heading3"/>
      </w:pPr>
      <w:r>
        <w:t>可借鉴的评价维度</w:t>
      </w:r>
    </w:p>
    <w:tbl>
      <w:tblPr>
        <w:tblStyle w:val="TableGrid"/>
        <w:tblW w:type="pct" w:w="0.0"/>
        <w:tblLayout w:type="fixed"/>
        <w:tblLook w:firstRow="1" w:lastRow="0" w:firstColumn="0" w:lastColumn="0" w:noHBand="0" w:noVBand="0" w:val="0020"/>
      </w:tblPr>
      <w:tblGrid/>
      <w:tr>
        <w:trPr>
          <w:cantSplit/>
          <w:tblHeader/>
        </w:trPr>
        <w:tc>
          <w:tcPr>
            <w:tcW w:type="dxa" w:w="1361"/>
            <w:shd w:fill="EAF0F4"/>
          </w:tcPr>
          <w:p>
            <w:pPr>
              <w:pStyle w:val="Compact"/>
              <w:keepNext/>
              <w:keepLines/>
              <w:spacing w:before="60" w:after="60" w:line="264" w:lineRule="auto"/>
              <w:jc w:val="left"/>
            </w:pPr>
            <w:r>
              <w:rPr>
                <w:b/>
                <w:sz w:val="19"/>
              </w:rPr>
              <w:t>维度</w:t>
            </w:r>
          </w:p>
        </w:tc>
        <w:tc>
          <w:tcPr>
            <w:tcW w:type="dxa" w:w="5556"/>
            <w:shd w:fill="EAF0F4"/>
          </w:tcPr>
          <w:p>
            <w:pPr>
              <w:pStyle w:val="Compact"/>
              <w:keepNext/>
              <w:keepLines/>
              <w:spacing w:before="60" w:after="60" w:line="264" w:lineRule="auto"/>
              <w:jc w:val="left"/>
            </w:pPr>
            <w:r>
              <w:rPr>
                <w:b/>
                <w:sz w:val="19"/>
              </w:rPr>
              <w:t>可以记录或询问的内容</w:t>
            </w:r>
          </w:p>
        </w:tc>
        <w:tc>
          <w:tcPr>
            <w:tcW w:type="dxa" w:w="2608"/>
            <w:shd w:fill="EAF0F4"/>
          </w:tcPr>
          <w:p>
            <w:pPr>
              <w:pStyle w:val="Compact"/>
              <w:keepNext/>
              <w:keepLines/>
              <w:spacing w:before="60" w:after="60" w:line="264" w:lineRule="auto"/>
              <w:jc w:val="left"/>
            </w:pPr>
            <w:r>
              <w:rPr>
                <w:b/>
                <w:sz w:val="19"/>
              </w:rPr>
              <w:t>相关文献</w:t>
            </w:r>
          </w:p>
        </w:tc>
      </w:tr>
      <w:tr>
        <w:trPr>
          <w:cantSplit/>
        </w:trPr>
        <w:tc>
          <w:tcPr>
            <w:tcW w:type="dxa" w:w="1361"/>
          </w:tcPr>
          <w:p>
            <w:pPr>
              <w:pStyle w:val="Compact"/>
              <w:keepNext w:val="0"/>
              <w:keepLines/>
              <w:spacing w:before="60" w:after="60" w:line="264" w:lineRule="auto"/>
              <w:jc w:val="left"/>
            </w:pPr>
            <w:r>
              <w:rPr>
                <w:sz w:val="19"/>
              </w:rPr>
              <w:t>决策行为</w:t>
            </w:r>
          </w:p>
        </w:tc>
        <w:tc>
          <w:tcPr>
            <w:tcW w:type="dxa" w:w="5556"/>
          </w:tcPr>
          <w:p>
            <w:pPr>
              <w:pStyle w:val="Compact"/>
              <w:keepNext w:val="0"/>
              <w:keepLines/>
              <w:spacing w:before="60" w:after="60" w:line="264" w:lineRule="auto"/>
              <w:jc w:val="left"/>
            </w:pPr>
            <w:r>
              <w:rPr>
                <w:sz w:val="19"/>
              </w:rPr>
              <w:t>完成时间、候选数量、反复返回、是否推迟或换选</w:t>
            </w:r>
          </w:p>
        </w:tc>
        <w:tc>
          <w:tcPr>
            <w:tcW w:type="dxa" w:w="2608"/>
          </w:tcPr>
          <w:p>
            <w:pPr>
              <w:pStyle w:val="Compact"/>
              <w:keepNext w:val="0"/>
              <w:keepLines/>
              <w:spacing w:before="60" w:after="60" w:line="264" w:lineRule="auto"/>
              <w:jc w:val="left"/>
            </w:pPr>
            <w:r>
              <w:rPr>
                <w:sz w:val="19"/>
              </w:rPr>
              <w:t>[1]、[7]</w:t>
            </w:r>
          </w:p>
        </w:tc>
      </w:tr>
      <w:tr>
        <w:trPr>
          <w:cantSplit/>
        </w:trPr>
        <w:tc>
          <w:tcPr>
            <w:tcW w:type="dxa" w:w="1361"/>
          </w:tcPr>
          <w:p>
            <w:pPr>
              <w:pStyle w:val="Compact"/>
              <w:keepNext w:val="0"/>
              <w:keepLines/>
              <w:spacing w:before="60" w:after="60" w:line="264" w:lineRule="auto"/>
              <w:jc w:val="left"/>
            </w:pPr>
            <w:r>
              <w:rPr>
                <w:sz w:val="19"/>
              </w:rPr>
              <w:t>比较负担</w:t>
            </w:r>
          </w:p>
        </w:tc>
        <w:tc>
          <w:tcPr>
            <w:tcW w:type="dxa" w:w="5556"/>
          </w:tcPr>
          <w:p>
            <w:pPr>
              <w:pStyle w:val="Compact"/>
              <w:keepNext w:val="0"/>
              <w:keepLines/>
              <w:spacing w:before="60" w:after="60" w:line="264" w:lineRule="auto"/>
              <w:jc w:val="left"/>
            </w:pPr>
            <w:r>
              <w:rPr>
                <w:sz w:val="19"/>
              </w:rPr>
              <w:t>哪些属性难比较，是否困惑、费力或焦虑</w:t>
            </w:r>
          </w:p>
        </w:tc>
        <w:tc>
          <w:tcPr>
            <w:tcW w:type="dxa" w:w="2608"/>
          </w:tcPr>
          <w:p>
            <w:pPr>
              <w:pStyle w:val="Compact"/>
              <w:keepNext w:val="0"/>
              <w:keepLines/>
              <w:spacing w:before="60" w:after="60" w:line="264" w:lineRule="auto"/>
              <w:jc w:val="left"/>
            </w:pPr>
            <w:r>
              <w:rPr>
                <w:sz w:val="19"/>
              </w:rPr>
              <w:t>[1]、[4]</w:t>
            </w:r>
          </w:p>
        </w:tc>
      </w:tr>
      <w:tr>
        <w:trPr>
          <w:cantSplit/>
        </w:trPr>
        <w:tc>
          <w:tcPr>
            <w:tcW w:type="dxa" w:w="1361"/>
          </w:tcPr>
          <w:p>
            <w:pPr>
              <w:pStyle w:val="Compact"/>
              <w:keepNext w:val="0"/>
              <w:keepLines/>
              <w:spacing w:before="60" w:after="60" w:line="264" w:lineRule="auto"/>
              <w:jc w:val="left"/>
            </w:pPr>
            <w:r>
              <w:rPr>
                <w:sz w:val="19"/>
              </w:rPr>
              <w:t>过程体验</w:t>
            </w:r>
          </w:p>
        </w:tc>
        <w:tc>
          <w:tcPr>
            <w:tcW w:type="dxa" w:w="5556"/>
          </w:tcPr>
          <w:p>
            <w:pPr>
              <w:pStyle w:val="Compact"/>
              <w:keepNext w:val="0"/>
              <w:keepLines/>
              <w:spacing w:before="60" w:after="60" w:line="264" w:lineRule="auto"/>
              <w:jc w:val="left"/>
            </w:pPr>
            <w:r>
              <w:rPr>
                <w:sz w:val="19"/>
              </w:rPr>
              <w:t>是否觉得过程顺畅、愿意投入这段时间、能自主决定</w:t>
            </w:r>
          </w:p>
        </w:tc>
        <w:tc>
          <w:tcPr>
            <w:tcW w:type="dxa" w:w="2608"/>
          </w:tcPr>
          <w:p>
            <w:pPr>
              <w:pStyle w:val="Compact"/>
              <w:keepNext w:val="0"/>
              <w:keepLines/>
              <w:spacing w:before="60" w:after="60" w:line="264" w:lineRule="auto"/>
              <w:jc w:val="left"/>
            </w:pPr>
            <w:r>
              <w:rPr>
                <w:sz w:val="19"/>
              </w:rPr>
              <w:t>[3]、[4]、[10]</w:t>
            </w:r>
          </w:p>
        </w:tc>
      </w:tr>
      <w:tr>
        <w:trPr>
          <w:cantSplit/>
        </w:trPr>
        <w:tc>
          <w:tcPr>
            <w:tcW w:type="dxa" w:w="1361"/>
          </w:tcPr>
          <w:p>
            <w:pPr>
              <w:pStyle w:val="Compact"/>
              <w:keepNext w:val="0"/>
              <w:keepLines/>
              <w:spacing w:before="60" w:after="60" w:line="264" w:lineRule="auto"/>
              <w:jc w:val="left"/>
            </w:pPr>
            <w:r>
              <w:rPr>
                <w:sz w:val="19"/>
              </w:rPr>
              <w:t>结果体验</w:t>
            </w:r>
          </w:p>
        </w:tc>
        <w:tc>
          <w:tcPr>
            <w:tcW w:type="dxa" w:w="5556"/>
          </w:tcPr>
          <w:p>
            <w:pPr>
              <w:pStyle w:val="Compact"/>
              <w:keepNext w:val="0"/>
              <w:keepLines/>
              <w:spacing w:before="60" w:after="60" w:line="264" w:lineRule="auto"/>
              <w:jc w:val="left"/>
            </w:pPr>
            <w:r>
              <w:rPr>
                <w:sz w:val="19"/>
              </w:rPr>
              <w:t>选完时是否有信心；吃完后是否满意；是否后悔</w:t>
            </w:r>
          </w:p>
        </w:tc>
        <w:tc>
          <w:tcPr>
            <w:tcW w:type="dxa" w:w="2608"/>
          </w:tcPr>
          <w:p>
            <w:pPr>
              <w:pStyle w:val="Compact"/>
              <w:keepNext w:val="0"/>
              <w:keepLines/>
              <w:spacing w:before="60" w:after="60" w:line="264" w:lineRule="auto"/>
              <w:jc w:val="left"/>
            </w:pPr>
            <w:r>
              <w:rPr>
                <w:sz w:val="19"/>
              </w:rPr>
              <w:t>[1]、[4]、[9]</w:t>
            </w:r>
          </w:p>
        </w:tc>
      </w:tr>
      <w:tr>
        <w:trPr>
          <w:cantSplit/>
        </w:trPr>
        <w:tc>
          <w:tcPr>
            <w:tcW w:type="dxa" w:w="1361"/>
          </w:tcPr>
          <w:p>
            <w:pPr>
              <w:pStyle w:val="Compact"/>
              <w:keepNext w:val="0"/>
              <w:keepLines/>
              <w:spacing w:before="60" w:after="60" w:line="264" w:lineRule="auto"/>
              <w:jc w:val="left"/>
            </w:pPr>
            <w:r>
              <w:rPr>
                <w:sz w:val="19"/>
              </w:rPr>
              <w:t>多人表达与公平</w:t>
            </w:r>
          </w:p>
        </w:tc>
        <w:tc>
          <w:tcPr>
            <w:tcW w:type="dxa" w:w="5556"/>
          </w:tcPr>
          <w:p>
            <w:pPr>
              <w:pStyle w:val="Compact"/>
              <w:keepNext w:val="0"/>
              <w:keepLines/>
              <w:spacing w:before="60" w:after="60" w:line="264" w:lineRule="auto"/>
              <w:jc w:val="left"/>
            </w:pPr>
            <w:r>
              <w:rPr>
                <w:sz w:val="19"/>
              </w:rPr>
              <w:t>意见是否被考虑，有无未说出的限制，是否被迫妥协</w:t>
            </w:r>
          </w:p>
        </w:tc>
        <w:tc>
          <w:tcPr>
            <w:tcW w:type="dxa" w:w="2608"/>
          </w:tcPr>
          <w:p>
            <w:pPr>
              <w:pStyle w:val="Compact"/>
              <w:keepNext w:val="0"/>
              <w:keepLines/>
              <w:spacing w:before="60" w:after="60" w:line="264" w:lineRule="auto"/>
              <w:jc w:val="left"/>
            </w:pPr>
            <w:r>
              <w:rPr>
                <w:sz w:val="19"/>
              </w:rPr>
              <w:t>[11] 提供线索，需自行验证</w:t>
            </w:r>
          </w:p>
        </w:tc>
      </w:tr>
    </w:tbl>
    <w:p>
      <w:pPr>
        <w:pStyle w:val="BodyText"/>
      </w:pPr>
      <w:r>
        <w:t>以上是供前期研究选用的维度，不是一份已经验证的中文量表。题项应根据研究问题精简，避免为了研究“减少选择负担”反而让参与者填写过长问卷。</w:t>
      </w:r>
    </w:p>
    <w:bookmarkEnd w:id="48"/>
    <w:bookmarkEnd w:id="49"/>
    <w:bookmarkStart w:id="50" w:name="五阅读优先级与引用注意事项"/>
    <w:p>
      <w:pPr>
        <w:pStyle w:val="Heading2"/>
      </w:pPr>
      <w:r>
        <w:t>五、阅读优先级与引用注意事项</w:t>
      </w:r>
    </w:p>
    <w:p>
      <w:pPr>
        <w:pStyle w:val="FirstParagraph"/>
      </w:pPr>
      <w:r>
        <w:t>建议小组先共同读 [1]、[2]，理解选择过载的条件和反证；再读 [5]、[7]，建立对餐馆选择行为的具体认识；用 [4] 设计过程体验的观察维度。研究健康与呈现方式时重点看 [8]，研究停止搜索与后悔时看 [9]，讨论产品价值时看 [10]。多人方向应优先沿 [11] 追溯原始研究，并补充真实聚餐观察。[6] 暂时只能作为摘要层面的补充材料。</w:t>
      </w:r>
    </w:p>
    <w:p>
      <w:pPr>
        <w:pStyle w:val="BodyText"/>
      </w:pPr>
      <w:r>
        <w:t>引用时尤其避免以下误写：</w:t>
      </w:r>
    </w:p>
    <w:p>
      <w:pPr>
        <w:numPr>
          <w:ilvl w:val="0"/>
          <w:numId w:val="1002"/>
        </w:numPr>
        <w:pStyle w:val="Compact"/>
      </w:pPr>
      <w:r>
        <w:t>把 [1] 写成“元分析证明选项越多越不好”。其核心贡献是解释何时有负面效应。</w:t>
      </w:r>
    </w:p>
    <w:p>
      <w:pPr>
        <w:numPr>
          <w:ilvl w:val="0"/>
          <w:numId w:val="1002"/>
        </w:numPr>
        <w:pStyle w:val="Compact"/>
      </w:pPr>
      <w:r>
        <w:t>把 [2] 写成“选择过载理论被推翻”。其结论限于研究覆盖的情境与指标。</w:t>
      </w:r>
    </w:p>
    <w:p>
      <w:pPr>
        <w:numPr>
          <w:ilvl w:val="0"/>
          <w:numId w:val="1002"/>
        </w:numPr>
        <w:pStyle w:val="Compact"/>
      </w:pPr>
      <w:r>
        <w:t>把 [3] 写成“所有菜单或推荐列表最优都是 6 个”。原研究测量和情境均有明确边界。</w:t>
      </w:r>
    </w:p>
    <w:p>
      <w:pPr>
        <w:numPr>
          <w:ilvl w:val="0"/>
          <w:numId w:val="1002"/>
        </w:numPr>
        <w:pStyle w:val="Compact"/>
      </w:pPr>
      <w:r>
        <w:t>把 [4] 的摘要概括当成所有结果指标都显著、同向变化。</w:t>
      </w:r>
    </w:p>
    <w:p>
      <w:pPr>
        <w:numPr>
          <w:ilvl w:val="0"/>
          <w:numId w:val="1002"/>
        </w:numPr>
        <w:pStyle w:val="Compact"/>
      </w:pPr>
      <w:r>
        <w:t>把 [7] 的用时分组视为操纵时间压力的因果实验，或将四类模式当作固定人格。</w:t>
      </w:r>
    </w:p>
    <w:p>
      <w:pPr>
        <w:numPr>
          <w:ilvl w:val="0"/>
          <w:numId w:val="1002"/>
        </w:numPr>
        <w:pStyle w:val="Compact"/>
      </w:pPr>
      <w:r>
        <w:t>把 [9] 的模型拟合结果当成“真实心理过程已经得到证明”。</w:t>
      </w:r>
    </w:p>
    <w:p>
      <w:pPr>
        <w:numPr>
          <w:ilvl w:val="0"/>
          <w:numId w:val="1002"/>
        </w:numPr>
        <w:pStyle w:val="Compact"/>
      </w:pPr>
      <w:r>
        <w:t>把 [10] 当作用户实验，或将其自由论证用作无条件代替用户决定的依据。</w:t>
      </w:r>
    </w:p>
    <w:p>
      <w:pPr>
        <w:numPr>
          <w:ilvl w:val="0"/>
          <w:numId w:val="1002"/>
        </w:numPr>
        <w:pStyle w:val="Compact"/>
      </w:pPr>
      <w:r>
        <w:t>把 [11] 当作已直接阅读的原始实验，或据此宣称匿名软件一定提升聚餐满意度。</w:t>
      </w:r>
    </w:p>
    <w:p>
      <w:pPr>
        <w:pStyle w:val="FirstParagraph"/>
      </w:pPr>
      <w:r>
        <w:t>适合在现阶段报告中使用的表述是：</w:t>
      </w:r>
      <w:r>
        <w:rPr>
          <w:bCs/>
          <w:b/>
        </w:rPr>
        <w:t>既有研究表明，食品和餐馆选择中的困难与决策情境、属性比较、偏好不确定和个体策略有关；选择数量与不满意之间不存在可直接照搬的普遍关系。本项目将通过真实用餐决策研究，识别特定用户在哪个环节需要支持，再验证相应交互方案。</w:t>
      </w:r>
    </w:p>
    <w:bookmarkEnd w:id="50"/>
    <w:bookmarkEnd w:id="51"/>
    <w:sectPr w:rsidR="00FC693F" w:rsidRPr="0006063C" w:rsidSect="00034616">
      <w:headerReference r:id="rId9" w:type="default"/>
      <w:footerReference r:id="rId10" w:type="default"/>
      <w:pgSz w:h="16838" w:w="11906"/>
      <w:pgMar w:bottom="1134" w:footer="454" w:gutter="0" w:header="454" w:left="1191" w:right="1191" w:top="113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eastAsia="等线"/>
        <w:color w:val="61727D"/>
        <w:sz w:val="16"/>
      </w:rPr>
      <w:t>今天吃什么 · 前期文献研究</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20" w:line="300" w:lineRule="auto"/>
    </w:pPr>
    <w:rPr>
      <w:rFonts w:ascii="Calibri" w:eastAsia="宋体" w:hAnsi="Calibri"/>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widowControl/>
      <w:spacing w:after="140" w:before="280" w:line="300" w:lineRule="auto"/>
      <w:outlineLvl w:val="0"/>
    </w:pPr>
    <w:rPr>
      <w:rFonts w:ascii="Calibri" w:asciiTheme="majorHAnsi" w:cstheme="majorBidi" w:eastAsia="等线" w:eastAsiaTheme="majorEastAsia" w:hAnsi="Calibri" w:hAnsiTheme="majorHAnsi"/>
      <w:b/>
      <w:bCs/>
      <w:color w:val="17354A"/>
      <w:sz w:val="40"/>
      <w:szCs w:val="28"/>
    </w:rPr>
  </w:style>
  <w:style w:styleId="Heading2" w:type="paragraph">
    <w:name w:val="heading 2"/>
    <w:basedOn w:val="Normal"/>
    <w:next w:val="Normal"/>
    <w:link w:val="Heading2Char"/>
    <w:uiPriority w:val="9"/>
    <w:unhideWhenUsed/>
    <w:qFormat/>
    <w:rsid w:val="00FC693F"/>
    <w:pPr>
      <w:keepNext/>
      <w:keepLines/>
      <w:widowControl/>
      <w:spacing w:after="140" w:before="280" w:line="300" w:lineRule="auto"/>
      <w:outlineLvl w:val="1"/>
    </w:pPr>
    <w:rPr>
      <w:rFonts w:ascii="Calibri" w:asciiTheme="majorHAnsi" w:cstheme="majorBidi" w:eastAsia="等线" w:eastAsiaTheme="majorEastAsia" w:hAnsi="Calibri" w:hAnsiTheme="majorHAnsi"/>
      <w:b/>
      <w:bCs/>
      <w:color w:val="17354A"/>
      <w:sz w:val="30"/>
      <w:szCs w:val="26"/>
    </w:rPr>
  </w:style>
  <w:style w:styleId="Heading3" w:type="paragraph">
    <w:name w:val="heading 3"/>
    <w:basedOn w:val="Normal"/>
    <w:next w:val="Normal"/>
    <w:link w:val="Heading3Char"/>
    <w:uiPriority w:val="9"/>
    <w:unhideWhenUsed/>
    <w:qFormat/>
    <w:rsid w:val="00FC693F"/>
    <w:pPr>
      <w:keepNext/>
      <w:keepLines/>
      <w:widowControl/>
      <w:spacing w:after="140" w:before="280" w:line="300" w:lineRule="auto"/>
      <w:outlineLvl w:val="2"/>
    </w:pPr>
    <w:rPr>
      <w:rFonts w:ascii="Calibri" w:asciiTheme="majorHAnsi" w:cstheme="majorBidi" w:eastAsia="等线" w:eastAsiaTheme="majorEastAsia" w:hAnsi="Calibri" w:hAnsiTheme="majorHAnsi"/>
      <w:b/>
      <w:bCs/>
      <w:color w:val="17354A"/>
      <w:sz w:val="25"/>
    </w:rPr>
  </w:style>
  <w:style w:styleId="Heading4" w:type="paragraph">
    <w:name w:val="heading 4"/>
    <w:basedOn w:val="Normal"/>
    <w:next w:val="Normal"/>
    <w:link w:val="Heading4Char"/>
    <w:uiPriority w:val="9"/>
    <w:semiHidden/>
    <w:unhideWhenUsed/>
    <w:qFormat/>
    <w:rsid w:val="00FC693F"/>
    <w:pPr>
      <w:keepNext/>
      <w:keepLines/>
      <w:widowControl/>
      <w:spacing w:after="140" w:before="280" w:line="300" w:lineRule="auto"/>
      <w:outlineLvl w:val="3"/>
    </w:pPr>
    <w:rPr>
      <w:rFonts w:ascii="Calibri" w:asciiTheme="majorHAnsi" w:cstheme="majorBidi" w:eastAsia="等线" w:eastAsiaTheme="majorEastAsia" w:hAnsi="Calibri" w:hAnsiTheme="majorHAnsi"/>
      <w:b/>
      <w:bCs/>
      <w:i/>
      <w:iCs/>
      <w:color w:val="17354A"/>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widowControl/>
      <w:pBdr>
        <w:bottom w:color="4F81BD" w:space="4" w:sz="8" w:themeColor="accent1" w:val="single"/>
      </w:pBdr>
      <w:spacing w:after="140" w:before="280" w:line="300" w:lineRule="auto"/>
      <w:contextualSpacing/>
    </w:pPr>
    <w:rPr>
      <w:rFonts w:ascii="Calibri" w:asciiTheme="majorHAnsi" w:cstheme="majorBidi" w:eastAsia="等线" w:eastAsiaTheme="majorEastAsia" w:hAnsi="Calibri" w:hAnsiTheme="majorHAnsi"/>
      <w:b/>
      <w:color w:val="17354A"/>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widowControl/>
      <w:numPr>
        <w:ilvl w:val="1"/>
      </w:numPr>
      <w:spacing w:after="120" w:line="300" w:lineRule="auto"/>
    </w:pPr>
    <w:rPr>
      <w:rFonts w:ascii="Calibri" w:asciiTheme="majorHAnsi" w:cstheme="majorBidi" w:eastAsia="宋体" w:eastAsiaTheme="majorEastAsia" w:hAnsi="Calibri" w:hAnsiTheme="majorHAnsi"/>
      <w:i/>
      <w:iCs/>
      <w:color w:themeColor="accent1" w:val="4F81BD"/>
      <w:spacing w:val="15"/>
      <w:sz w:val="21"/>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widowControl/>
      <w:spacing w:after="120" w:line="300" w:lineRule="auto"/>
    </w:pPr>
    <w:rPr>
      <w:rFonts w:ascii="Calibri" w:eastAsia="宋体" w:hAnsi="Calibri"/>
      <w:sz w:val="21"/>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widowControl/>
      <w:spacing w:after="120" w:line="300" w:lineRule="auto"/>
    </w:pPr>
    <w:rPr>
      <w:rFonts w:ascii="Calibri" w:eastAsia="宋体" w:hAnsi="Calibri"/>
      <w:b/>
      <w:bCs/>
      <w:color w:themeColor="accent1" w:val="4F81BD"/>
      <w:sz w:val="21"/>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37" Type="http://schemas.openxmlformats.org/officeDocument/2006/relationships/hyperlink" Target="https://doi.org/10.1016/j.appet.2024.107616" TargetMode="External"/><Relationship Id="rId29" Type="http://schemas.openxmlformats.org/officeDocument/2006/relationships/hyperlink" Target="https://doi.org/10.1016/j.foodqual.2025.105635" TargetMode="External"/><Relationship Id="rId31" Type="http://schemas.openxmlformats.org/officeDocument/2006/relationships/hyperlink" Target="https://doi.org/10.1016/j.ijhm.2014.11.007" TargetMode="External"/><Relationship Id="rId35" Type="http://schemas.openxmlformats.org/officeDocument/2006/relationships/hyperlink" Target="https://doi.org/10.1016/j.ijhm.2025.104306" TargetMode="External"/><Relationship Id="rId23" Type="http://schemas.openxmlformats.org/officeDocument/2006/relationships/hyperlink" Target="https://doi.org/10.1016/j.jcps.2014.08.002" TargetMode="External"/><Relationship Id="rId27" Type="http://schemas.openxmlformats.org/officeDocument/2006/relationships/hyperlink" Target="https://doi.org/10.1080/15428052.2013.798564" TargetMode="External"/><Relationship Id="rId33" Type="http://schemas.openxmlformats.org/officeDocument/2006/relationships/hyperlink" Target="https://doi.org/10.1080/19368623.2012.671562" TargetMode="External"/><Relationship Id="rId25" Type="http://schemas.openxmlformats.org/officeDocument/2006/relationships/hyperlink" Target="https://doi.org/10.1145/3025453.3025778" TargetMode="External"/><Relationship Id="rId39" Type="http://schemas.openxmlformats.org/officeDocument/2006/relationships/hyperlink" Target="https://doi.org/10.6092/unibo/amsdottorato/8826" TargetMode="External"/><Relationship Id="rId41" Type="http://schemas.openxmlformats.org/officeDocument/2006/relationships/hyperlink" Target="https://theses.hal.science/tel-04590306v1" TargetMode="External"/><Relationship Id="rId43" Type="http://schemas.openxmlformats.org/officeDocument/2006/relationships/hyperlink" Target="https://www.psychologicalscience.org/observer/being-choosy-about-choosing" TargetMode="External"/></Relationships>
</file>

<file path=word/_rels/footnotes.xml.rels><?xml version='1.0' encoding='UTF-8' standalone='yes'?>
<Relationships xmlns="http://schemas.openxmlformats.org/package/2006/relationships"><Relationship Id="rId37" Type="http://schemas.openxmlformats.org/officeDocument/2006/relationships/hyperlink" Target="https://doi.org/10.1016/j.appet.2024.107616" TargetMode="External"/><Relationship Id="rId29" Type="http://schemas.openxmlformats.org/officeDocument/2006/relationships/hyperlink" Target="https://doi.org/10.1016/j.foodqual.2025.105635" TargetMode="External"/><Relationship Id="rId31" Type="http://schemas.openxmlformats.org/officeDocument/2006/relationships/hyperlink" Target="https://doi.org/10.1016/j.ijhm.2014.11.007" TargetMode="External"/><Relationship Id="rId35" Type="http://schemas.openxmlformats.org/officeDocument/2006/relationships/hyperlink" Target="https://doi.org/10.1016/j.ijhm.2025.104306" TargetMode="External"/><Relationship Id="rId23" Type="http://schemas.openxmlformats.org/officeDocument/2006/relationships/hyperlink" Target="https://doi.org/10.1016/j.jcps.2014.08.002" TargetMode="External"/><Relationship Id="rId27" Type="http://schemas.openxmlformats.org/officeDocument/2006/relationships/hyperlink" Target="https://doi.org/10.1080/15428052.2013.798564" TargetMode="External"/><Relationship Id="rId33" Type="http://schemas.openxmlformats.org/officeDocument/2006/relationships/hyperlink" Target="https://doi.org/10.1080/19368623.2012.671562" TargetMode="External"/><Relationship Id="rId25" Type="http://schemas.openxmlformats.org/officeDocument/2006/relationships/hyperlink" Target="https://doi.org/10.1145/3025453.3025778" TargetMode="External"/><Relationship Id="rId39" Type="http://schemas.openxmlformats.org/officeDocument/2006/relationships/hyperlink" Target="https://doi.org/10.6092/unibo/amsdottorato/8826" TargetMode="External"/><Relationship Id="rId41" Type="http://schemas.openxmlformats.org/officeDocument/2006/relationships/hyperlink" Target="https://theses.hal.science/tel-04590306v1" TargetMode="External"/><Relationship Id="rId43" Type="http://schemas.openxmlformats.org/officeDocument/2006/relationships/hyperlink" Target="https://www.psychologicalscience.org/observer/being-choosy-about-choos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2026-09-29T02:13:04Z</dcterms:created>
  <dcterms:modified xsi:type="dcterms:W3CDTF">2026-09-29T02:13:04Z</dcterms:modified>
</cp:coreProperties>
</file>

<file path=docProps/custom.xml><?xml version="1.0" encoding="utf-8"?>
<Properties xmlns="http://schemas.openxmlformats.org/officeDocument/2006/custom-properties" xmlns:vt="http://schemas.openxmlformats.org/officeDocument/2006/docPropsVTypes"/>
</file>