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uso de IA — AM1 (Jamaica / energia solar e armazenamento)</w:t>
      </w:r>
    </w:p>
    <w:p>
      <w:r>
        <w:rPr>
          <w:b/>
        </w:rPr>
        <w:t>Ferramenta:</w:t>
      </w:r>
      <w:r>
        <w:t xml:space="preserve"> Claude (Anthropic), modelo Claude Fable 5.1 — chat do claude.ai e Claude Code. </w:t>
      </w:r>
      <w:r>
        <w:rPr>
          <w:b/>
        </w:rPr>
        <w:t>Data:</w:t>
      </w:r>
      <w:r>
        <w:t xml:space="preserve"> 2026-09-14</w:t>
      </w:r>
    </w:p>
    <w:p>
      <w:pPr>
        <w:pStyle w:val="Heading2"/>
      </w:pPr>
      <w:r>
        <w:t>Sessões</w:t>
      </w:r>
    </w:p>
    <w:p>
      <w:pPr>
        <w:pStyle w:val="Heading3"/>
      </w:pPr>
      <w:r>
        <w:t>Sessão 1 — chat: replicação do pipeline para a Jamaica</w:t>
      </w:r>
    </w:p>
    <w:p>
      <w:pPr>
        <w:pStyle w:val="ListBullet"/>
      </w:pPr>
      <w:r>
        <w:t>Prompt: enunciados da AM1 e do projeto final; pedido de pipeline de extração para Jamaica / solar e armazenamento, replicado do projeto anterior (Japão / tecnologia).</w:t>
      </w:r>
    </w:p>
    <w:p>
      <w:pPr>
        <w:pStyle w:val="ListBullet"/>
      </w:pPr>
      <w:r>
        <w:t xml:space="preserve">Resposta: repositório </w:t>
      </w:r>
      <w:r>
        <w:rPr>
          <w:rFonts w:ascii="Consolas" w:hAnsi="Consolas" w:eastAsia="Consolas"/>
        </w:rPr>
        <w:t>jamaica_AM1/</w:t>
      </w:r>
      <w:r>
        <w:t xml:space="preserve"> com catálogo generalizado (país, comparadores, nomes e referência de convergência em </w:t>
      </w:r>
      <w:r>
        <w:rPr>
          <w:rFonts w:ascii="Consolas" w:hAnsi="Consolas" w:eastAsia="Consolas"/>
        </w:rPr>
        <w:t>config/series.yaml</w:t>
      </w:r>
      <w:r>
        <w:t xml:space="preserve">), extratores </w:t>
      </w:r>
      <w:r>
        <w:rPr>
          <w:rFonts w:ascii="Consolas" w:hAnsi="Consolas" w:eastAsia="Consolas"/>
        </w:rPr>
        <w:t>worldbank</w:t>
      </w:r>
      <w:r>
        <w:t xml:space="preserve">, </w:t>
      </w:r>
      <w:r>
        <w:rPr>
          <w:rFonts w:ascii="Consolas" w:hAnsi="Consolas" w:eastAsia="Consolas"/>
        </w:rPr>
        <w:t>undp</w:t>
      </w:r>
      <w:r>
        <w:t xml:space="preserve">, </w:t>
      </w:r>
      <w:r>
        <w:rPr>
          <w:rFonts w:ascii="Consolas" w:hAnsi="Consolas" w:eastAsia="Consolas"/>
        </w:rPr>
        <w:t>csv_url</w:t>
      </w:r>
      <w:r>
        <w:t xml:space="preserve"> e </w:t>
      </w:r>
      <w:r>
        <w:rPr>
          <w:rFonts w:ascii="Consolas" w:hAnsi="Consolas" w:eastAsia="Consolas"/>
        </w:rPr>
        <w:t>manual</w:t>
      </w:r>
      <w:r>
        <w:t xml:space="preserve">, </w:t>
      </w:r>
      <w:r>
        <w:rPr>
          <w:rFonts w:ascii="Consolas" w:hAnsi="Consolas" w:eastAsia="Consolas"/>
        </w:rPr>
        <w:t>run_all.py</w:t>
      </w:r>
      <w:r>
        <w:t xml:space="preserve">, </w:t>
      </w:r>
      <w:r>
        <w:rPr>
          <w:rFonts w:ascii="Consolas" w:hAnsi="Consolas" w:eastAsia="Consolas"/>
        </w:rPr>
        <w:t>transform.py</w:t>
      </w:r>
      <w:r>
        <w:t xml:space="preserve"> e o prompt para o Claude Code.</w:t>
      </w:r>
    </w:p>
    <w:p>
      <w:pPr>
        <w:ind w:left="454"/>
      </w:pPr>
      <w:r>
        <w:rPr>
          <w:i/>
        </w:rPr>
        <w:t>Colar aqui os prompts e respostas completos da sessão de chat, em ordem cronológica. As interações do Claude Code estão transcritas no Anexo.</w:t>
      </w:r>
    </w:p>
    <w:p>
      <w:pPr>
        <w:pStyle w:val="Heading3"/>
      </w:pPr>
      <w:r>
        <w:t>Sessão 2 — Claude Code: completar, executar e verificar o pipeline</w:t>
      </w:r>
    </w:p>
    <w:p>
      <w:r>
        <w:rPr>
          <w:b/>
        </w:rPr>
        <w:t>Prompt:</w:t>
      </w:r>
      <w:r>
        <w:t xml:space="preserve"> o arquivo </w:t>
      </w:r>
      <w:r>
        <w:rPr>
          <w:rFonts w:ascii="Consolas" w:hAnsi="Consolas" w:eastAsia="Consolas"/>
        </w:rPr>
        <w:t>prompt_claude_code_AM1_jamaica.md</w:t>
      </w:r>
      <w:r>
        <w:t xml:space="preserve"> (Anexo A). O agente não redesenhou o pipeline: completou o catálogo consultando as fontes reais, preencheu as tabelas manuais com documentos públicos, rodou e verificou tudo. Ambiente: Python 3.14.3, pandas 3.0.5, requests 2.34.2, PyYAML 6.0.3, matplotlib 3.11.2; nenhum pacote além de </w:t>
      </w:r>
      <w:r>
        <w:rPr>
          <w:rFonts w:ascii="Consolas" w:hAnsi="Consolas" w:eastAsia="Consolas"/>
        </w:rPr>
        <w:t>requirements.txt</w:t>
      </w:r>
      <w:r>
        <w:t>.</w:t>
      </w:r>
    </w:p>
    <w:p>
      <w:pPr>
        <w:pStyle w:val="Heading4"/>
      </w:pPr>
      <w:r>
        <w:t>Consulta às fontes (não de memória)</w:t>
      </w:r>
    </w:p>
    <w:p>
      <w:pPr>
        <w:pStyle w:val="ListBullet"/>
      </w:pPr>
      <w:r>
        <w:rPr>
          <w:b/>
        </w:rPr>
        <w:t>Banco Mundial:</w:t>
      </w:r>
      <w:r>
        <w:t xml:space="preserve"> metadados de cada indicador na API (</w:t>
      </w:r>
      <w:r>
        <w:rPr>
          <w:rFonts w:ascii="Consolas" w:hAnsi="Consolas" w:eastAsia="Consolas"/>
        </w:rPr>
        <w:t>/v2/indicator/&lt;codigo&gt;?format=json&amp;source=...</w:t>
      </w:r>
      <w:r>
        <w:t xml:space="preserve">). Todos os códigos confirmados; </w:t>
      </w:r>
      <w:r>
        <w:rPr>
          <w:rFonts w:ascii="Consolas" w:hAnsi="Consolas" w:eastAsia="Consolas"/>
        </w:rPr>
        <w:t>HD.HCI.OVRL</w:t>
      </w:r>
      <w:r>
        <w:t xml:space="preserve"> vive na fonte 63 e o Rule of Law é </w:t>
      </w:r>
      <w:r>
        <w:rPr>
          <w:rFonts w:ascii="Consolas" w:hAnsi="Consolas" w:eastAsia="Consolas"/>
        </w:rPr>
        <w:t>GOV_WGI_RL.EST</w:t>
      </w:r>
      <w:r>
        <w:t xml:space="preserve"> na fonte 3 (o antigo </w:t>
      </w:r>
      <w:r>
        <w:rPr>
          <w:rFonts w:ascii="Consolas" w:hAnsi="Consolas" w:eastAsia="Consolas"/>
        </w:rPr>
        <w:t>RL.EST</w:t>
      </w:r>
      <w:r>
        <w:t xml:space="preserve"> não existe mais nessa fonte).</w:t>
      </w:r>
    </w:p>
    <w:p>
      <w:pPr>
        <w:pStyle w:val="ListBullet"/>
      </w:pPr>
      <w:r>
        <w:rPr>
          <w:b/>
        </w:rPr>
        <w:t>HDR:</w:t>
      </w:r>
      <w:r>
        <w:t xml:space="preserve"> a página de downloads continua apontando para </w:t>
      </w:r>
      <w:r>
        <w:rPr>
          <w:rFonts w:ascii="Consolas" w:hAnsi="Consolas" w:eastAsia="Consolas"/>
        </w:rPr>
        <w:t>HDR25_Composite_indices_complete_time_series.csv</w:t>
      </w:r>
      <w:r>
        <w:t xml:space="preserve"> (séries 1990–2023).</w:t>
      </w:r>
    </w:p>
    <w:p>
      <w:pPr>
        <w:pStyle w:val="ListBullet"/>
      </w:pPr>
      <w:r>
        <w:rPr>
          <w:b/>
        </w:rPr>
        <w:t>Ember:</w:t>
      </w:r>
      <w:r>
        <w:t xml:space="preserve"> em julho de 2026 o formato mudou. O arquivo anual atual é </w:t>
      </w:r>
      <w:r>
        <w:rPr>
          <w:rFonts w:ascii="Consolas" w:hAnsi="Consolas" w:eastAsia="Consolas"/>
        </w:rPr>
        <w:t>release_generation_yearly_global.csv</w:t>
      </w:r>
      <w:r>
        <w:t>, com uma linha por área, ano e fonte de eletricidade e as métricas em colunas; as colunas Category/Subcategory/Variable/Unit/Value do formato longo antigo não existem mais. O arquivo "Europe only" não tem os países do grupo.</w:t>
      </w:r>
    </w:p>
    <w:p>
      <w:pPr>
        <w:pStyle w:val="ListBullet"/>
      </w:pPr>
      <w:r>
        <w:rPr>
          <w:b/>
        </w:rPr>
        <w:t>IRENA:</w:t>
      </w:r>
      <w:r>
        <w:t xml:space="preserve"> não oferece URL de download direto em CSV. O IRENASTAT (PxWeb) só devolve CSV por requisição POST e o irena.org bloqueia acesso automatizado (HTTP 403). Seguindo a regra do prompt, usou-se a republicação do Our World in Data (</w:t>
      </w:r>
      <w:r>
        <w:rPr>
          <w:rFonts w:ascii="Consolas" w:hAnsi="Consolas" w:eastAsia="Consolas"/>
        </w:rPr>
        <w:t>installed-solar-pv-capacity.csv</w:t>
      </w:r>
      <w:r>
        <w:t>), conferida contra a API do IRENASTAT: valores iguais à soma PV on-grid + off-grid em todos os anos (diferença máxima 0,01 MW; única exceção Costa Rica 2012, 0,9 MW) e solar térmica de concentração nula nos sete países, logo "solar total" = fotovoltaica.</w:t>
      </w:r>
    </w:p>
    <w:p>
      <w:pPr>
        <w:pStyle w:val="ListBullet"/>
      </w:pPr>
      <w:r>
        <w:rPr>
          <w:b/>
        </w:rPr>
        <w:t>FMI:</w:t>
      </w:r>
      <w:r>
        <w:t xml:space="preserve"> a série </w:t>
      </w:r>
      <w:r>
        <w:rPr>
          <w:rFonts w:ascii="Consolas" w:hAnsi="Consolas" w:eastAsia="Consolas"/>
        </w:rPr>
        <w:t>GGXWDG_NGDP</w:t>
      </w:r>
      <w:r>
        <w:t xml:space="preserve"> do WEO (dívida bruta do governo geral) foi testada na API SDMX 2.1 (</w:t>
      </w:r>
      <w:r>
        <w:rPr>
          <w:rFonts w:ascii="Consolas" w:hAnsi="Consolas" w:eastAsia="Consolas"/>
        </w:rPr>
        <w:t>api.imf.org</w:t>
      </w:r>
      <w:r>
        <w:t>), que devolve CSV por GET para os sete países; deixada como bloco comentado no catálogo, não ativada.</w:t>
      </w:r>
    </w:p>
    <w:p>
      <w:pPr>
        <w:pStyle w:val="Heading4"/>
      </w:pPr>
      <w:r>
        <w:t>O que alterou (arquivo, motivo)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Alteração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config/series.yaml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eastAsia="Consolas"/>
                <w:sz w:val="18"/>
              </w:rPr>
              <w:t>solar_capacidade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url_csv</w:t>
            </w:r>
            <w:r>
              <w:rPr>
                <w:sz w:val="18"/>
              </w:rPr>
              <w:t xml:space="preserve"> = grapher do OWID, </w:t>
            </w:r>
            <w:r>
              <w:rPr>
                <w:rFonts w:ascii="Consolas" w:hAnsi="Consolas" w:eastAsia="Consolas"/>
                <w:sz w:val="18"/>
              </w:rPr>
              <w:t>mapeamento {Code, Year, Solar}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fator: 1000</w:t>
            </w:r>
            <w:r>
              <w:rPr>
                <w:sz w:val="18"/>
              </w:rPr>
              <w:t xml:space="preserve"> (GW → MW), </w:t>
            </w:r>
            <w:r>
              <w:rPr>
                <w:rFonts w:ascii="Consolas" w:hAnsi="Consolas" w:eastAsia="Consolas"/>
                <w:sz w:val="18"/>
              </w:rPr>
              <w:t>instituicao</w:t>
            </w:r>
            <w:r>
              <w:rPr>
                <w:sz w:val="18"/>
              </w:rPr>
              <w:t xml:space="preserve"> registra a republicação, </w:t>
            </w:r>
            <w:r>
              <w:rPr>
                <w:rFonts w:ascii="Consolas" w:hAnsi="Consolas" w:eastAsia="Consolas"/>
                <w:sz w:val="18"/>
              </w:rPr>
              <w:t>ajuste</w:t>
            </w:r>
            <w:r>
              <w:rPr>
                <w:sz w:val="18"/>
              </w:rPr>
              <w:t xml:space="preserve"> documenta a conferência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IRENA sem CSV direto (ver acima)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config/series.yaml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eastAsia="Consolas"/>
                <w:sz w:val="18"/>
              </w:rPr>
              <w:t>solar_geracao_share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renovaveis_geracao_share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url_csv</w:t>
            </w:r>
            <w:r>
              <w:rPr>
                <w:sz w:val="18"/>
              </w:rPr>
              <w:t xml:space="preserve"> = arquivo anual global do Ember; </w:t>
            </w:r>
            <w:r>
              <w:rPr>
                <w:rFonts w:ascii="Consolas" w:hAnsi="Consolas" w:eastAsia="Consolas"/>
                <w:sz w:val="18"/>
              </w:rPr>
              <w:t>mapeamento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 w:eastAsia="Consolas"/>
                <w:sz w:val="18"/>
              </w:rPr>
              <w:t>filtros</w:t>
            </w:r>
            <w:r>
              <w:rPr>
                <w:sz w:val="18"/>
              </w:rPr>
              <w:t xml:space="preserve"> refeitos (</w:t>
            </w:r>
            <w:r>
              <w:rPr>
                <w:rFonts w:ascii="Consolas" w:hAnsi="Consolas" w:eastAsia="Consolas"/>
                <w:sz w:val="18"/>
              </w:rPr>
              <w:t>Electricity source</w:t>
            </w:r>
            <w:r>
              <w:rPr>
                <w:sz w:val="18"/>
              </w:rPr>
              <w:t xml:space="preserve"> = Solar / Renewables; valor em </w:t>
            </w:r>
            <w:r>
              <w:rPr>
                <w:rFonts w:ascii="Consolas" w:hAnsi="Consolas" w:eastAsia="Consolas"/>
                <w:sz w:val="18"/>
              </w:rPr>
              <w:t>Share of generation (%)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Formato novo do Ember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config/series.yaml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eastAsia="Consolas"/>
                <w:sz w:val="18"/>
              </w:rPr>
              <w:t>hci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energia_importada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divida_publica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wgi_rule_of_law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Campo </w:t>
            </w:r>
            <w:r>
              <w:rPr>
                <w:rFonts w:ascii="Consolas" w:hAnsi="Consolas" w:eastAsia="Consolas"/>
                <w:sz w:val="18"/>
              </w:rPr>
              <w:t>ajuste</w:t>
            </w:r>
            <w:r>
              <w:rPr>
                <w:sz w:val="18"/>
              </w:rPr>
              <w:t xml:space="preserve"> registra cobertura efetiva e lacunas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Exigência de documentar lacunas; dívida no WDI insuficiente para comparação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config/series.yaml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eastAsia="Consolas"/>
                <w:sz w:val="18"/>
              </w:rPr>
              <w:t>tarifa_eletricidade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armazenamento_projetos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instituicao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definicao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 w:eastAsia="Consolas"/>
                <w:sz w:val="18"/>
              </w:rPr>
              <w:t>ajuste</w:t>
            </w:r>
            <w:r>
              <w:rPr>
                <w:sz w:val="18"/>
              </w:rPr>
              <w:t xml:space="preserve"> descrevem o conteúdo real das tabelas manuais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Coerência entre </w:t>
            </w:r>
            <w:r>
              <w:rPr>
                <w:rFonts w:ascii="Consolas" w:hAnsi="Consolas" w:eastAsia="Consolas"/>
                <w:sz w:val="18"/>
              </w:rPr>
              <w:t>fontes.csv</w:t>
            </w:r>
            <w:r>
              <w:rPr>
                <w:sz w:val="18"/>
              </w:rPr>
              <w:t xml:space="preserve"> e as tabelas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processamento/extract/csv_url.py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Campo opcional </w:t>
            </w:r>
            <w:r>
              <w:rPr>
                <w:rFonts w:ascii="Consolas" w:hAnsi="Consolas" w:eastAsia="Consolas"/>
                <w:sz w:val="18"/>
              </w:rPr>
              <w:t>fator</w:t>
            </w:r>
            <w:r>
              <w:rPr>
                <w:sz w:val="18"/>
              </w:rPr>
              <w:t xml:space="preserve"> e aplicação de </w:t>
            </w:r>
            <w:r>
              <w:rPr>
                <w:rFonts w:ascii="Consolas" w:hAnsi="Consolas" w:eastAsia="Consolas"/>
                <w:sz w:val="18"/>
              </w:rPr>
              <w:t>periodo.inicio/fim</w:t>
            </w:r>
            <w:r>
              <w:rPr>
                <w:sz w:val="18"/>
              </w:rPr>
              <w:t xml:space="preserve"> do catálogo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Conversão GW → MW declarada; recorte de período igual ao do Banco Mundial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processamento/run_all.py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Passa </w:t>
            </w:r>
            <w:r>
              <w:rPr>
                <w:rFonts w:ascii="Consolas" w:hAnsi="Consolas" w:eastAsia="Consolas"/>
                <w:sz w:val="18"/>
              </w:rPr>
              <w:t>ini, fim</w:t>
            </w:r>
            <w:r>
              <w:rPr>
                <w:sz w:val="18"/>
              </w:rPr>
              <w:t xml:space="preserve"> para </w:t>
            </w:r>
            <w:r>
              <w:rPr>
                <w:rFonts w:ascii="Consolas" w:hAnsi="Consolas" w:eastAsia="Consolas"/>
                <w:sz w:val="18"/>
              </w:rPr>
              <w:t>csv_url.fetch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processamento/transform.py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Legenda das figuras de linha fora do gráfico, </w:t>
            </w:r>
            <w:r>
              <w:rPr>
                <w:rFonts w:ascii="Consolas" w:hAnsi="Consolas" w:eastAsia="Consolas"/>
                <w:sz w:val="18"/>
              </w:rPr>
              <w:t>bbox_inches="tight"</w:t>
            </w:r>
            <w:r>
              <w:rPr>
                <w:sz w:val="18"/>
              </w:rPr>
              <w:t>, rótulo do eixo y da convergência em duas linhas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Só renderização: a legenda cobria linhas em três figuras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processamento/verificar.py</w:t>
            </w:r>
            <w:r>
              <w:rPr>
                <w:sz w:val="18"/>
              </w:rPr>
              <w:t xml:space="preserve"> (novo)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Resumo por série, sinalizações e conferência aleatória contra os brutos (</w:t>
            </w:r>
            <w:r>
              <w:rPr>
                <w:rFonts w:ascii="Consolas" w:hAnsi="Consolas" w:eastAsia="Consolas"/>
                <w:sz w:val="18"/>
              </w:rPr>
              <w:t>dados/processados/verificacao.txt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Tarefa 5 do prompt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processamento/gerar_tabelas.py</w:t>
            </w:r>
            <w:r>
              <w:rPr>
                <w:sz w:val="18"/>
              </w:rPr>
              <w:t xml:space="preserve"> (novo)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Adaptação do script do projeto Japão: país, comparadores, nomes e referência lidos do catálogo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Tarefa 6 do prompt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dados/manuais/tarifa_eletricidade.csv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11 linhas (2015–2025): tarifa média da JPS em US$/kWh como publicada pelo MSETT (Jamaica Energy Statistics, tabela "JPS Rate Charges", dados da JPS), valor original em J$/kWh, coluna extra com a tarifa residencial (Rate 10); 2015 do IRP 2018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O site da JPS (jpsco.com) bloqueia acesso automatizado; o MSETT publica a série oficial com fonte JPS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dados/manuais/armazenamento_projetos.csv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4 linhas: HESS de Hunts Bay (OUR, 24,5 MW / 16,6 MWh, dez. 2019), BESS da 1ª fase do IRP 2022 (264 MW / 528 MWh, plano), BESS de 171,5 MWh da JPS (licitação EPC 2023, imprensa especializada), 2ª rodada da GPE (110 MW / 220 MWh, RFI mar. 2026)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Tarefa 3; cada linha com fonte, link e data de acesso</w:t>
            </w:r>
          </w:p>
        </w:tc>
      </w:tr>
    </w:tbl>
    <w:p/>
    <w:p>
      <w:r>
        <w:t xml:space="preserve">Nada em </w:t>
      </w:r>
      <w:r>
        <w:rPr>
          <w:rFonts w:ascii="Consolas" w:hAnsi="Consolas" w:eastAsia="Consolas"/>
        </w:rPr>
        <w:t>dados/brutos/</w:t>
      </w:r>
      <w:r>
        <w:t xml:space="preserve"> foi editado; nenhum valor foi imputado, interpolado ou inventado.</w:t>
      </w:r>
    </w:p>
    <w:p>
      <w:pPr>
        <w:pStyle w:val="Heading4"/>
      </w:pPr>
      <w:r>
        <w:t>Execução e verificação</w:t>
      </w:r>
    </w:p>
    <w:p>
      <w:pPr>
        <w:pStyle w:val="ListBullet"/>
      </w:pPr>
      <w:r>
        <w:rPr>
          <w:rFonts w:ascii="Consolas" w:hAnsi="Consolas" w:eastAsia="Consolas"/>
        </w:rPr>
        <w:t>run_all.py</w:t>
      </w:r>
      <w:r>
        <w:t xml:space="preserve">: 13 de 13 séries com status </w:t>
      </w:r>
      <w:r>
        <w:rPr>
          <w:rFonts w:ascii="Consolas" w:hAnsi="Consolas" w:eastAsia="Consolas"/>
        </w:rPr>
        <w:t>ok</w:t>
      </w:r>
      <w:r>
        <w:t xml:space="preserve"> em </w:t>
      </w:r>
      <w:r>
        <w:rPr>
          <w:rFonts w:ascii="Consolas" w:hAnsi="Consolas" w:eastAsia="Consolas"/>
        </w:rPr>
        <w:t>log_extracao.csv</w:t>
      </w:r>
      <w:r>
        <w:t xml:space="preserve">; brutos datados em </w:t>
      </w:r>
      <w:r>
        <w:rPr>
          <w:rFonts w:ascii="Consolas" w:hAnsi="Consolas" w:eastAsia="Consolas"/>
        </w:rPr>
        <w:t>dados/brutos/</w:t>
      </w:r>
      <w:r>
        <w:t>.</w:t>
      </w:r>
    </w:p>
    <w:p>
      <w:pPr>
        <w:pStyle w:val="ListBullet"/>
      </w:pPr>
      <w:r>
        <w:rPr>
          <w:rFonts w:ascii="Consolas" w:hAnsi="Consolas" w:eastAsia="Consolas"/>
        </w:rPr>
        <w:t>verificar.py</w:t>
      </w:r>
      <w:r>
        <w:t>: sem duplicatas país-ano, sem NaN, valores nas faixas esperadas; três valores sorteados (seed 20260914) conferidos contra os brutos, todos idênticos.</w:t>
      </w:r>
    </w:p>
    <w:p>
      <w:pPr>
        <w:pStyle w:val="ListBullet"/>
      </w:pPr>
      <w:r>
        <w:rPr>
          <w:rFonts w:ascii="Consolas" w:hAnsi="Consolas" w:eastAsia="Consolas"/>
        </w:rPr>
        <w:t>transform.py</w:t>
      </w:r>
      <w:r>
        <w:t xml:space="preserve"> e </w:t>
      </w:r>
      <w:r>
        <w:rPr>
          <w:rFonts w:ascii="Consolas" w:hAnsi="Consolas" w:eastAsia="Consolas"/>
        </w:rPr>
        <w:t>gerar_tabelas.py</w:t>
      </w:r>
      <w:r>
        <w:t xml:space="preserve">: sete figuras (cada PNG aberto e conferido), derivados e tabelas em Markdown em </w:t>
      </w:r>
      <w:r>
        <w:rPr>
          <w:rFonts w:ascii="Consolas" w:hAnsi="Consolas" w:eastAsia="Consolas"/>
        </w:rPr>
        <w:t>dados/processados/</w:t>
      </w:r>
      <w:r>
        <w:t>.</w:t>
      </w:r>
    </w:p>
    <w:p>
      <w:pPr>
        <w:pStyle w:val="Heading4"/>
      </w:pPr>
      <w:r>
        <w:t>Lacunas registradas</w:t>
      </w:r>
    </w:p>
    <w:p>
      <w:pPr>
        <w:pStyle w:val="ListBullet"/>
      </w:pPr>
      <w:r>
        <w:t xml:space="preserve">Agregado LCN só existe no WDI; ausente no HDR, HCI, WGI, OWID e Ember. Barbados não tem </w:t>
      </w:r>
      <w:r>
        <w:rPr>
          <w:rFonts w:ascii="Consolas" w:hAnsi="Consolas" w:eastAsia="Consolas"/>
        </w:rPr>
        <w:t>energia_importada</w:t>
      </w:r>
      <w:r>
        <w:t xml:space="preserve"> nem </w:t>
      </w:r>
      <w:r>
        <w:rPr>
          <w:rFonts w:ascii="Consolas" w:hAnsi="Consolas" w:eastAsia="Consolas"/>
        </w:rPr>
        <w:t>hci</w:t>
      </w:r>
      <w:r>
        <w:t xml:space="preserve">. WGI sem 1997, 1999 e 2001. </w:t>
      </w:r>
      <w:r>
        <w:rPr>
          <w:rFonts w:ascii="Consolas" w:hAnsi="Consolas" w:eastAsia="Consolas"/>
        </w:rPr>
        <w:t>energia_importada</w:t>
      </w:r>
      <w:r>
        <w:t xml:space="preserve"> da Jamaica sem 2005–2007.</w:t>
      </w:r>
    </w:p>
    <w:p>
      <w:pPr>
        <w:pStyle w:val="ListBullet"/>
      </w:pPr>
      <w:r>
        <w:rPr>
          <w:rFonts w:ascii="Consolas" w:hAnsi="Consolas" w:eastAsia="Consolas"/>
        </w:rPr>
        <w:t>divida_publica</w:t>
      </w:r>
      <w:r>
        <w:t xml:space="preserve"> (WDI): Jamaica 1990–2020 sem 2018; comparadores muito irregulares (Panamá sem dado; Trinidad e Tobago só 2006–2007; República Dominicana 1996–1999).</w:t>
      </w:r>
    </w:p>
    <w:p>
      <w:pPr>
        <w:pStyle w:val="ListBullet"/>
      </w:pPr>
      <w:r>
        <w:rPr>
          <w:rFonts w:ascii="Consolas" w:hAnsi="Consolas" w:eastAsia="Consolas"/>
        </w:rPr>
        <w:t>tarifa_eletricidade</w:t>
      </w:r>
      <w:r>
        <w:t>: US$ arredondado a 2 casas pela própria fonte. HESS com composição divergente entre fontes (OUR: 21 MW baterias + 3,5 MW flywheel; IRP 2022: 20 MW + 4,5 MW).</w:t>
      </w:r>
    </w:p>
    <w:p>
      <w:pPr>
        <w:pStyle w:val="Heading3"/>
      </w:pPr>
      <w:r>
        <w:t>Sessão 3 — Claude Code: decisões do aluno sobre os dados</w:t>
      </w:r>
    </w:p>
    <w:p>
      <w:r>
        <w:rPr>
          <w:b/>
        </w:rPr>
        <w:t>Prompt (Anexo C):</w:t>
      </w:r>
      <w:r>
        <w:t xml:space="preserve"> usar </w:t>
      </w:r>
      <w:r>
        <w:rPr>
          <w:rFonts w:ascii="Consolas" w:hAnsi="Consolas" w:eastAsia="Consolas"/>
        </w:rPr>
        <w:t>energia_importada</w:t>
      </w:r>
      <w:r>
        <w:t xml:space="preserve"> como quinta dimensão; adotar a OUR para a composição do HESS; converter a tarifa com </w:t>
      </w:r>
      <w:r>
        <w:rPr>
          <w:rFonts w:ascii="Consolas" w:hAnsi="Consolas" w:eastAsia="Consolas"/>
        </w:rPr>
        <w:t>PA.NUS.FCRF</w:t>
      </w:r>
      <w:r>
        <w:t xml:space="preserve">; </w:t>
      </w:r>
      <w:r>
        <w:rPr>
          <w:rFonts w:ascii="Consolas" w:hAnsi="Consolas" w:eastAsia="Consolas"/>
        </w:rPr>
        <w:t>periodo.fim</w:t>
      </w:r>
      <w:r>
        <w:t xml:space="preserve"> = 2025.</w:t>
      </w:r>
    </w:p>
    <w:p>
      <w:pPr>
        <w:pStyle w:val="Heading4"/>
      </w:pPr>
      <w:r>
        <w:t>O que alterou (arquivo, motivo)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Alteração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config/series.yaml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periodo.fim: 2025</w:t>
            </w:r>
            <w:r>
              <w:rPr>
                <w:sz w:val="18"/>
              </w:rPr>
              <w:t xml:space="preserve">; comentário registrando </w:t>
            </w:r>
            <w:r>
              <w:rPr>
                <w:rFonts w:ascii="Consolas" w:hAnsi="Consolas" w:eastAsia="Consolas"/>
                <w:sz w:val="18"/>
              </w:rPr>
              <w:t>energia_importada</w:t>
            </w:r>
            <w:r>
              <w:rPr>
                <w:sz w:val="18"/>
              </w:rPr>
              <w:t xml:space="preserve"> como quinta dimensão (dívida e WGI seguem como apoio); nova série auxiliar </w:t>
            </w:r>
            <w:r>
              <w:rPr>
                <w:rFonts w:ascii="Consolas" w:hAnsi="Consolas" w:eastAsia="Consolas"/>
                <w:sz w:val="18"/>
              </w:rPr>
              <w:t>cambio_jmd_usd</w:t>
            </w:r>
            <w:r>
              <w:rPr>
                <w:sz w:val="18"/>
              </w:rPr>
              <w:t xml:space="preserve"> (WDI </w:t>
            </w:r>
            <w:r>
              <w:rPr>
                <w:rFonts w:ascii="Consolas" w:hAnsi="Consolas" w:eastAsia="Consolas"/>
                <w:sz w:val="18"/>
              </w:rPr>
              <w:t>PA.NUS.FCRF</w:t>
            </w:r>
            <w:r>
              <w:rPr>
                <w:sz w:val="18"/>
              </w:rPr>
              <w:t xml:space="preserve">, moeda local por US$, média do período); </w:t>
            </w:r>
            <w:r>
              <w:rPr>
                <w:rFonts w:ascii="Consolas" w:hAnsi="Consolas" w:eastAsia="Consolas"/>
                <w:sz w:val="18"/>
              </w:rPr>
              <w:t>ajuste</w:t>
            </w:r>
            <w:r>
              <w:rPr>
                <w:sz w:val="18"/>
              </w:rPr>
              <w:t xml:space="preserve"> da tarifa descreve a conversão; nota sobre Costa Rica 2025 em </w:t>
            </w:r>
            <w:r>
              <w:rPr>
                <w:rFonts w:ascii="Consolas" w:hAnsi="Consolas" w:eastAsia="Consolas"/>
                <w:sz w:val="18"/>
              </w:rPr>
              <w:t>renovaveis_geracao_share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Decisões do aluno; a conversão de moeda passa a ser feita no código, com a série no catálogo e em </w:t>
            </w:r>
            <w:r>
              <w:rPr>
                <w:rFonts w:ascii="Consolas" w:hAnsi="Consolas" w:eastAsia="Consolas"/>
                <w:sz w:val="18"/>
              </w:rPr>
              <w:t>fontes.csv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dados/manuais/armazenamento_projetos.csv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Colunas </w:t>
            </w:r>
            <w:r>
              <w:rPr>
                <w:rFonts w:ascii="Consolas" w:hAnsi="Consolas" w:eastAsia="Consolas"/>
                <w:sz w:val="18"/>
              </w:rPr>
              <w:t>mw_baterias</w:t>
            </w:r>
            <w:r>
              <w:rPr>
                <w:sz w:val="18"/>
              </w:rPr>
              <w:t xml:space="preserve"> = 21 e </w:t>
            </w:r>
            <w:r>
              <w:rPr>
                <w:rFonts w:ascii="Consolas" w:hAnsi="Consolas" w:eastAsia="Consolas"/>
                <w:sz w:val="18"/>
              </w:rPr>
              <w:t>mw_flywheel</w:t>
            </w:r>
            <w:r>
              <w:rPr>
                <w:sz w:val="18"/>
              </w:rPr>
              <w:t xml:space="preserve"> = 3,5 na linha do HESS; </w:t>
            </w:r>
            <w:r>
              <w:rPr>
                <w:rFonts w:ascii="Consolas" w:hAnsi="Consolas" w:eastAsia="Consolas"/>
                <w:sz w:val="18"/>
              </w:rPr>
              <w:t>observacao</w:t>
            </w:r>
            <w:r>
              <w:rPr>
                <w:sz w:val="18"/>
              </w:rPr>
              <w:t xml:space="preserve"> registra a composição da OUR como adotada e a do IRP 2022 como divergente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Decisão do aluno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processamento/transform.py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Função </w:t>
            </w:r>
            <w:r>
              <w:rPr>
                <w:rFonts w:ascii="Consolas" w:hAnsi="Consolas" w:eastAsia="Consolas"/>
                <w:sz w:val="18"/>
              </w:rPr>
              <w:t>tarifa_em_dolar()</w:t>
            </w:r>
            <w:r>
              <w:rPr>
                <w:sz w:val="18"/>
              </w:rPr>
              <w:t xml:space="preserve"> gera </w:t>
            </w:r>
            <w:r>
              <w:rPr>
                <w:rFonts w:ascii="Consolas" w:hAnsi="Consolas" w:eastAsia="Consolas"/>
                <w:sz w:val="18"/>
              </w:rPr>
              <w:t>tarifa_eletricidade_usd.csv</w:t>
            </w:r>
            <w:r>
              <w:rPr>
                <w:sz w:val="18"/>
              </w:rPr>
              <w:t>: J$/kWh ÷ câmbio médio anual, com a residencial em US$ e a média do sistema recalculada para conferir o US$ publicado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Decisão do aluno; a tabela manual não muda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processamento/gerar_tabelas.py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 xml:space="preserve">Tabela da tarifa em US$ em </w:t>
            </w:r>
            <w:r>
              <w:rPr>
                <w:rFonts w:ascii="Consolas" w:hAnsi="Consolas" w:eastAsia="Consolas"/>
                <w:sz w:val="18"/>
              </w:rPr>
              <w:t>04_derivados.md</w:t>
            </w:r>
            <w:r>
              <w:rPr>
                <w:sz w:val="18"/>
              </w:rPr>
              <w:t xml:space="preserve"> e fato-chave em </w:t>
            </w:r>
            <w:r>
              <w:rPr>
                <w:rFonts w:ascii="Consolas" w:hAnsi="Consolas" w:eastAsia="Consolas"/>
                <w:sz w:val="18"/>
              </w:rPr>
              <w:t>05_fatos_chave.md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Idem</w:t>
            </w:r>
          </w:p>
        </w:tc>
      </w:tr>
    </w:tbl>
    <w:p/>
    <w:p>
      <w:pPr>
        <w:pStyle w:val="Heading4"/>
      </w:pPr>
      <w:r>
        <w:t>Execução e verificação</w:t>
      </w:r>
    </w:p>
    <w:p>
      <w:r>
        <w:rPr>
          <w:rFonts w:ascii="Consolas" w:hAnsi="Consolas" w:eastAsia="Consolas"/>
        </w:rPr>
        <w:t>run_all.py</w:t>
      </w:r>
      <w:r>
        <w:t xml:space="preserve"> com 14 de 14 séries </w:t>
      </w:r>
      <w:r>
        <w:rPr>
          <w:rFonts w:ascii="Consolas" w:hAnsi="Consolas" w:eastAsia="Consolas"/>
        </w:rPr>
        <w:t>ok</w:t>
      </w:r>
      <w:r>
        <w:t xml:space="preserve">; </w:t>
      </w:r>
      <w:r>
        <w:rPr>
          <w:rFonts w:ascii="Consolas" w:hAnsi="Consolas" w:eastAsia="Consolas"/>
        </w:rPr>
        <w:t>verificar.py</w:t>
      </w:r>
      <w:r>
        <w:t xml:space="preserve"> com três valores sorteados idênticos aos brutos (</w:t>
      </w:r>
      <w:r>
        <w:rPr>
          <w:rFonts w:ascii="Consolas" w:hAnsi="Consolas" w:eastAsia="Consolas"/>
        </w:rPr>
        <w:t>wgi_rule_of_law</w:t>
      </w:r>
      <w:r>
        <w:t xml:space="preserve"> JAM 2014, </w:t>
      </w:r>
      <w:r>
        <w:rPr>
          <w:rFonts w:ascii="Consolas" w:hAnsi="Consolas" w:eastAsia="Consolas"/>
        </w:rPr>
        <w:t>armazenamento_projetos</w:t>
      </w:r>
      <w:r>
        <w:t xml:space="preserve"> JAM 2026, </w:t>
      </w:r>
      <w:r>
        <w:rPr>
          <w:rFonts w:ascii="Consolas" w:hAnsi="Consolas" w:eastAsia="Consolas"/>
        </w:rPr>
        <w:t>renovaveis_geracao_share</w:t>
      </w:r>
      <w:r>
        <w:t xml:space="preserve"> PAN 2018); figuras e tabelas regeneradas. Nova sinalização: Costa Rica 2025 com renováveis = 109,9% da geração porque o Ember registra "Other fossil" negativo nesse ano preliminar; valor mantido como na fonte e anotado no catálogo e em </w:t>
      </w:r>
      <w:r>
        <w:rPr>
          <w:rFonts w:ascii="Consolas" w:hAnsi="Consolas" w:eastAsia="Consolas"/>
        </w:rPr>
        <w:t>verificacao.txt</w:t>
      </w:r>
      <w:r>
        <w:t>. A média do sistema recalculada com o câmbio difere do valor publicado só pelo arredondamento (0,325 contra 0,32 em 2025).</w:t>
      </w:r>
    </w:p>
    <w:p>
      <w:pPr>
        <w:pStyle w:val="Heading4"/>
      </w:pPr>
      <w:r>
        <w:t>Séries: período usado e último valor da Jamaica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Período usado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Último valor da Jamaica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idh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1990–2023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0,720 (2023), 7º de 7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pib_pc_ppp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US$ 11.358 (2025), 8º de 8; 46,3% da República Dominicana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pib_por_ocupado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1991–2025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US$ 20.659 (2025), 8º de 8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hci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2010–2020 (2010, 2017, 2018, 2020)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0,535 (2020), 4º de 6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energia_importada</w:t>
            </w:r>
            <w:r>
              <w:rPr>
                <w:sz w:val="18"/>
              </w:rPr>
              <w:t xml:space="preserve"> (quinta dimensão)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1990–2023 (Jamaica até 2022)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112,6% do uso de energia (2022)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divida_publica</w:t>
            </w:r>
            <w:r>
              <w:rPr>
                <w:sz w:val="18"/>
              </w:rPr>
              <w:t xml:space="preserve"> (apoio)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1990–2024 (Jamaica até 2020)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97,9% do PIB (2020)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wgi_rule_of_law</w:t>
            </w:r>
            <w:r>
              <w:rPr>
                <w:sz w:val="18"/>
              </w:rPr>
              <w:t xml:space="preserve"> (apoio)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1996–2024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−0,08 (2024), 3º de 7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solar_capacidade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116,6 MW (2025), 4º de 7; 41,1 kW por 1.000 hab. (5º de 7)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solar_geracao_share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2000–2025 (Jamaica até 2024)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3,05% da geração (2024)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renovaveis_geracao_share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2000–2025 (Jamaica até 2024)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12,6% da geração (2024)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tarifa_eletricidade</w:t>
            </w:r>
            <w:r>
              <w:rPr>
                <w:sz w:val="18"/>
              </w:rPr>
              <w:t xml:space="preserve"> (manual)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2015–2025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US$ 0,32/kWh publicado (2025, preliminar); residencial calculada US$ 0,367/kWh; máximo em 2022 (US$ 0,36; residencial US$ 0,410)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armazenamento_projetos</w:t>
            </w:r>
            <w:r>
              <w:rPr>
                <w:sz w:val="18"/>
              </w:rPr>
              <w:t xml:space="preserve"> (manual)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2019–2026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4 registros; único operacional: HESS 24,5 MW (21 MW baterias + 3,5 MW flywheel) / 16,6 MWh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populacao</w:t>
            </w:r>
            <w:r>
              <w:rPr>
                <w:sz w:val="18"/>
              </w:rPr>
              <w:t xml:space="preserve"> (auxiliar)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1960–2025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2,84 milhões (2025)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 w:eastAsia="Consolas"/>
                <w:sz w:val="18"/>
              </w:rPr>
              <w:t>cambio_jmd_usd</w:t>
            </w:r>
            <w:r>
              <w:rPr>
                <w:sz w:val="18"/>
              </w:rPr>
              <w:t xml:space="preserve"> (auxiliar)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1960–2025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159,10 J$ por US$ (2025)</w:t>
            </w:r>
          </w:p>
        </w:tc>
      </w:tr>
    </w:tbl>
    <w:p/>
    <w:p>
      <w:pPr>
        <w:pStyle w:val="Heading4"/>
      </w:pPr>
      <w:r>
        <w:t>Pendências de dados</w:t>
      </w:r>
    </w:p>
    <w:p>
      <w:pPr>
        <w:pStyle w:val="ListNumber"/>
      </w:pPr>
      <w:r>
        <w:t>Confirmar no site da JPS os MW do BESS de 171,5 MWh e confirmar na GPE se a 2ª rodada passou de 220 MW + 110 MW/220 MWh para 300 MW + 150 MW (anúncio de maio de 2026).</w:t>
      </w:r>
    </w:p>
    <w:p>
      <w:pPr>
        <w:pStyle w:val="ListNumber"/>
      </w:pPr>
      <w:r>
        <w:t>Colar neste arquivo a transcrição da Sessão 1 (chat), que o Claude Code não tem.</w:t>
      </w:r>
    </w:p>
    <w:p>
      <w:pPr>
        <w:pStyle w:val="Heading2"/>
      </w:pPr>
      <w:r>
        <w:t>Verificação dos resultados</w:t>
      </w:r>
    </w:p>
    <w:p>
      <w:pPr>
        <w:pStyle w:val="ListBullet"/>
      </w:pPr>
      <w:r>
        <w:t>[ ] Cada série conferida no portal da fonte</w:t>
      </w:r>
    </w:p>
    <w:p>
      <w:pPr>
        <w:pStyle w:val="ListBullet"/>
      </w:pPr>
      <w:r>
        <w:t>[ ] Códigos e URLs confirmados</w:t>
      </w:r>
    </w:p>
    <w:p>
      <w:pPr>
        <w:pStyle w:val="ListBullet"/>
      </w:pPr>
      <w:r>
        <w:t>[ ] Tabelas manuais: cada linha com fonte, link e data de acesso, valores conferidos no documento original</w:t>
      </w:r>
    </w:p>
    <w:p>
      <w:pPr>
        <w:pStyle w:val="ListBullet"/>
      </w:pPr>
      <w:r>
        <w:t>[ ] Derivados recomputados manualmente para um ano</w:t>
      </w:r>
    </w:p>
    <w:p>
      <w:pPr>
        <w:pStyle w:val="Heading2"/>
      </w:pPr>
      <w:r>
        <w:t>Anexo — transcrição das interações com o Claude Code</w:t>
      </w:r>
    </w:p>
    <w:p>
      <w:r>
        <w:t>Só os trechos sobre o pipeline; pedidos sobre organização de pastas e sobre a confecção deste registro foram omitidos e estão marcados com "[...]".</w:t>
      </w:r>
    </w:p>
    <w:p>
      <w:pPr>
        <w:pStyle w:val="Heading3"/>
      </w:pPr>
      <w:r>
        <w:t xml:space="preserve">Anexo A — Prompt inicial da Sessão 2 (arquivo </w:t>
      </w:r>
      <w:r>
        <w:rPr>
          <w:rFonts w:ascii="Consolas" w:hAnsi="Consolas" w:eastAsia="Consolas"/>
        </w:rPr>
        <w:t>prompt_claude_code_AM1_jamaica.md</w:t>
      </w:r>
      <w:r>
        <w:t>)</w:t>
      </w:r>
    </w:p>
    <w:p>
      <w:r>
        <w:t>Mensagem do aluno no Claude Code: "Leia, e execute o que está sendo pedido neste arquivo. Em caso de dúvida, me questione sobre como prosseguir."</w:t>
      </w:r>
    </w:p>
    <w:p>
      <w:r>
        <w:rPr>
          <w:rFonts w:ascii="Consolas" w:hAnsi="Consolas" w:eastAsia="Consolas"/>
          <w:sz w:val="17"/>
        </w:rPr>
        <w:t># Contexto</w:t>
        <w:br/>
        <w:br/>
        <w:t>Estou fazendo a Atividade Monitorada 1 da disciplina Economias Emergentes e Desenvolvimento Econômico (FGV EAESP): diagnóstico inicial da **Jamaica** e do setor de **energia solar e armazenamento**, etapa inicial de um memo de investimento. Já tenho um repositório em `jamaica_AM1.zip` (mesma pasta deste prompt), replicado de um projeto anterior que funcionou. Seu trabalho é completar, executar e verificar o pipeline — não redesenhá-lo.</w:t>
        <w:br/>
        <w:br/>
        <w:t>Regras da atividade:</w:t>
        <w:br/>
        <w:t>- Toda série precisa de definição, unidade, período usado, instituição, link direto, código, data de acesso e ajustes. Isso está modelado em `config/series.yaml` e vira `dados/processados/fontes.csv`.</w:t>
        <w:br/>
        <w:t>- **Nunca edite `dados/brutos/`.** Nunca invente dados. Quando um dado não existir, registre a lacuna.</w:t>
        <w:br/>
        <w:t>- Serei sabatinado oralmente sobre fontes, processamento e leitura; prefira soluções simples e explicáveis.</w:t>
        <w:br/>
        <w:t>- Ao final, acrescente em `uso_de_ia_AM1.md` uma seção "Sessão Claude Code" com o que fez, alterou e por quê.</w:t>
        <w:br/>
        <w:br/>
        <w:t># Tarefas, em ordem</w:t>
        <w:br/>
        <w:br/>
        <w:t>1. **Ambiente.** Descompacte, leia `README.md` e `config/series.yaml` inteiros, crie venv e instale `requirements.txt`.</w:t>
        <w:br/>
        <w:br/>
        <w:t>2. **Completar o catálogo consultando as fontes reais (não de memória):**</w:t>
        <w:br/>
        <w:t xml:space="preserve">   - `solar_capacidade` (IRENA): encontre a URL de download direto, em CSV, da capacidade instalada por país e tecnologia (IRENASTAT ou o arquivo de extração da IRENA). Preencha `url_csv`, `mapeamento` e `filtros` (tecnologia = solar fotovoltaica; observe se há colunas de tipo on-grid/off-grid). Se só houver nomes de país, use `tipo_pais: nome` e `nomes_fonte`. Se a IRENA não oferecer CSV direto, use o grapher do Our World in Data (`installed-solar-pv-capacity.csv`), que republica IRENA, e registre no campo `instituicao` que é republicação.</w:t>
        <w:br/>
        <w:t xml:space="preserve">   - `solar_geracao_share` e `renovaveis_geracao_share` (Ember): localize a URL atual do arquivo anual em formato longo, confira o cabeçalho e ajuste `mapeamento` e `filtros` se os nomes mudaram.</w:t>
        <w:br/>
        <w:t xml:space="preserve">   - Confirme os códigos WDI/WGI em `https://api.worldbank.org/v2/indicator/&lt;codigo&gt;?format=json` (WGI: `source=3`; HCI: `source=63`). Confirme o nome atual do arquivo do HDR.</w:t>
        <w:br/>
        <w:t xml:space="preserve">   - Verifique a cobertura de `energia_importada` e `divida_publica` para a Jamaica; se a dívida no WDI for insuficiente, proponha a série `GGXWDG_NGDP` do FMI WEO como alternativa e diga como acessá-la (não implemente sem me avisar).</w:t>
        <w:br/>
        <w:br/>
        <w:t>3. **Tabelas manuais.** Não invente valores. Para `dados/manuais/tarifa_eletricidade.csv` e `armazenamento_projetos.csv`, busque os documentos públicos da OUR (regulador), da JPS (concessionária) e do plano integrado de recursos do governo jamaicano; preencha apenas o que conseguir ler e citar com link direto e data. O que não encontrar, deixe fora e liste no relatório final para eu completar.</w:t>
        <w:br/>
        <w:br/>
        <w:t>4. **Extração.** Rode `python processamento/run_all.py` até `log_extracao.csv` ficar sem erros nas séries que têm fonte preenchida. Séries que dependem de mim podem ficar com erro, desde que listadas.</w:t>
        <w:br/>
        <w:br/>
        <w:t>5. **Verificação.** Para cada série: observações, primeiro e último ano, número de países, valor da Jamaica no último ano. Sinalize lacunas, valores fora de escala e comparadores ausentes. Confira três valores sorteados contra os brutos.</w:t>
        <w:br/>
        <w:br/>
        <w:t>6. **Figuras e derivados.** Rode `python processamento/transform.py`, abra cada PNG e corrija só renderização. Adapte o `gerar_tabelas.py` do projeto anterior (se eu o incluir na pasta) para ler país, comparadores e nomes de `config/series.yaml` em vez de constantes, e gere as tabelas em Markdown.</w:t>
        <w:br/>
        <w:br/>
        <w:t>7. **Relatório final:** o que rodou; o que alterou (arquivo, motivo); tabela id / período / último valor da Jamaica; pendências minhas, em especial linhas das tabelas manuais e a decisão sobre a quinta dimensão.</w:t>
        <w:br/>
        <w:br/>
        <w:t># Restrições</w:t>
        <w:br/>
        <w:br/>
        <w:t>- Sem pacotes além de `requirements.txt` salvo necessidade real e justificada.</w:t>
        <w:br/>
        <w:t>- Não altere a estrutura de pastas nem os nomes dos arquivos de saída.</w:t>
        <w:br/>
        <w:t>- Não faça commit de `.venv/` nem de `__pycache__/`. Ao final, `git init` com um commit inicial.</w:t>
      </w:r>
    </w:p>
    <w:p>
      <w:pPr>
        <w:pStyle w:val="Heading3"/>
      </w:pPr>
      <w:r>
        <w:t>Anexo B — Resposta final do Claude Code na Sessão 2</w:t>
      </w:r>
    </w:p>
    <w:p>
      <w:r>
        <w:t>Pipeline completo: 13 de 13 séries extraídas sem erro, verificadas contra os brutos, 7 figuras e 7 tabelas em Markdown geradas [...].</w:t>
      </w:r>
    </w:p>
    <w:p>
      <w:pPr>
        <w:pStyle w:val="Heading4"/>
      </w:pPr>
      <w:r>
        <w:t>O que mudou e por quê</w:t>
      </w:r>
    </w:p>
    <w:p>
      <w:pPr>
        <w:pStyle w:val="ListBullet"/>
      </w:pPr>
      <w:r>
        <w:rPr>
          <w:b/>
        </w:rPr>
        <w:t>config/series.yaml</w:t>
      </w:r>
      <w:r>
        <w:t xml:space="preserve">: </w:t>
      </w:r>
      <w:r>
        <w:rPr>
          <w:rFonts w:ascii="Consolas" w:hAnsi="Consolas" w:eastAsia="Consolas"/>
        </w:rPr>
        <w:t>solar_capacidade</w:t>
      </w:r>
      <w:r>
        <w:t xml:space="preserve"> usa o grapher do OWID, que republica a IRENA, porque a IRENA não oferece CSV por GET. O IRENASTAT só responde por POST e o irena.org devolve 403 a scripts. Conferi na API do IRENASTAT que os valores do OWID batem com PV on-grid + off-grid em todos os anos e que a CSP é nula nos sete países. O arquivo vem em GW e é convertido para MW pelo campo novo </w:t>
      </w:r>
      <w:r>
        <w:rPr>
          <w:rFonts w:ascii="Consolas" w:hAnsi="Consolas" w:eastAsia="Consolas"/>
        </w:rPr>
        <w:t>fator: 1000</w:t>
      </w:r>
      <w:r>
        <w:t>.</w:t>
      </w:r>
    </w:p>
    <w:p>
      <w:pPr>
        <w:pStyle w:val="ListBullet"/>
      </w:pPr>
      <w:r>
        <w:rPr>
          <w:b/>
        </w:rPr>
        <w:t>Ember</w:t>
      </w:r>
      <w:r>
        <w:t xml:space="preserve">: o formato mudou em julho de 2026. A URL atual é </w:t>
      </w:r>
      <w:r>
        <w:rPr>
          <w:rFonts w:ascii="Consolas" w:hAnsi="Consolas" w:eastAsia="Consolas"/>
        </w:rPr>
        <w:t>release_generation_yearly_global.csv</w:t>
      </w:r>
      <w:r>
        <w:t>, uma linha por área, ano e fonte, métricas em colunas. Mapeamento e filtros foram refeitos. O arquivo "lower" é só Europa.</w:t>
      </w:r>
    </w:p>
    <w:p>
      <w:pPr>
        <w:pStyle w:val="ListBullet"/>
      </w:pPr>
      <w:r>
        <w:rPr>
          <w:b/>
        </w:rPr>
        <w:t>Banco Mundial e HDR</w:t>
      </w:r>
      <w:r>
        <w:t xml:space="preserve">: todos os códigos confirmados na API, WGI é </w:t>
      </w:r>
      <w:r>
        <w:rPr>
          <w:rFonts w:ascii="Consolas" w:hAnsi="Consolas" w:eastAsia="Consolas"/>
        </w:rPr>
        <w:t>GOV_WGI_RL.EST</w:t>
      </w:r>
      <w:r>
        <w:t xml:space="preserve"> na fonte 3, HCI na fonte 63. O arquivo do HDR continua </w:t>
      </w:r>
      <w:r>
        <w:rPr>
          <w:rFonts w:ascii="Consolas" w:hAnsi="Consolas" w:eastAsia="Consolas"/>
        </w:rPr>
        <w:t>HDR25_Composite_indices_complete_time_series.csv</w:t>
      </w:r>
      <w:r>
        <w:t>.</w:t>
      </w:r>
    </w:p>
    <w:p>
      <w:pPr>
        <w:pStyle w:val="ListBullet"/>
      </w:pPr>
      <w:r>
        <w:rPr>
          <w:b/>
        </w:rPr>
        <w:t>csv_url.py e run_all.py</w:t>
      </w:r>
      <w:r>
        <w:t xml:space="preserve">: campo opcional </w:t>
      </w:r>
      <w:r>
        <w:rPr>
          <w:rFonts w:ascii="Consolas" w:hAnsi="Consolas" w:eastAsia="Consolas"/>
        </w:rPr>
        <w:t>fator</w:t>
      </w:r>
      <w:r>
        <w:t xml:space="preserve"> e recorte pelo </w:t>
      </w:r>
      <w:r>
        <w:rPr>
          <w:rFonts w:ascii="Consolas" w:hAnsi="Consolas" w:eastAsia="Consolas"/>
        </w:rPr>
        <w:t>periodo</w:t>
      </w:r>
      <w:r>
        <w:t xml:space="preserve"> do catálogo, que antes só valia para o Banco Mundial.</w:t>
      </w:r>
    </w:p>
    <w:p>
      <w:pPr>
        <w:pStyle w:val="ListBullet"/>
      </w:pPr>
      <w:r>
        <w:rPr>
          <w:b/>
        </w:rPr>
        <w:t>transform.py</w:t>
      </w:r>
      <w:r>
        <w:t xml:space="preserve">: só renderização. Legenda à direita do gráfico porque cobria linhas em três figuras, recorte </w:t>
      </w:r>
      <w:r>
        <w:rPr>
          <w:rFonts w:ascii="Consolas" w:hAnsi="Consolas" w:eastAsia="Consolas"/>
        </w:rPr>
        <w:t>bbox_inches="tight"</w:t>
      </w:r>
      <w:r>
        <w:t>, rótulo da convergência em duas linhas.</w:t>
      </w:r>
    </w:p>
    <w:p>
      <w:pPr>
        <w:pStyle w:val="ListBullet"/>
      </w:pPr>
      <w:r>
        <w:rPr>
          <w:b/>
        </w:rPr>
        <w:t>Novos</w:t>
      </w:r>
      <w:r>
        <w:t xml:space="preserve">: verificar.py gera verificacao.txt. gerar_tabelas.py foi adaptado do projeto Japão e lê país, comparadores e nomes do catálogo, com saída em </w:t>
      </w:r>
      <w:r>
        <w:rPr>
          <w:rFonts w:ascii="Consolas" w:hAnsi="Consolas" w:eastAsia="Consolas"/>
        </w:rPr>
        <w:t>dados/processados/01_*.md</w:t>
      </w:r>
      <w:r>
        <w:t xml:space="preserve"> a </w:t>
      </w:r>
      <w:r>
        <w:rPr>
          <w:rFonts w:ascii="Consolas" w:hAnsi="Consolas" w:eastAsia="Consolas"/>
        </w:rPr>
        <w:t>06_*.md</w:t>
      </w:r>
      <w:r>
        <w:t xml:space="preserve"> e </w:t>
      </w:r>
      <w:r>
        <w:rPr>
          <w:rFonts w:ascii="Consolas" w:hAnsi="Consolas" w:eastAsia="Consolas"/>
        </w:rPr>
        <w:t>fontes.md</w:t>
      </w:r>
      <w:r>
        <w:t>.</w:t>
      </w:r>
    </w:p>
    <w:p>
      <w:pPr>
        <w:pStyle w:val="ListBullet"/>
      </w:pPr>
      <w:r>
        <w:rPr>
          <w:b/>
        </w:rPr>
        <w:t>Tabelas manuais</w:t>
      </w:r>
      <w:r>
        <w:t>: tarifa_eletricidade.csv tem 11 linhas, 2015 a 2025, tarifa média da JPS em US$/kWh como publicada nas "Jamaica Energy Statistics" do MSETT, com valor original em J$/kWh e coluna extra da tarifa residencial. armazenamento_projetos.csv tem 4 linhas com fonte, link e data em cada uma. O site da JPS bloqueia acesso automatizado, por isso a OUR, o IRP 2022, a GPE e o MSETT foram as fontes primárias.</w:t>
      </w:r>
    </w:p>
    <w:p>
      <w:pPr>
        <w:pStyle w:val="Heading4"/>
      </w:pPr>
      <w:r>
        <w:t>Séries, período e último valor da Jamaica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Último valor da Jamaica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idh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1990–2023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0,720 em 2023, 7º de 7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pib_pc_ppp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US$ 11.340 em 2024, 46,8% da Rep. Dominicana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pib_por_ocupado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1991–2024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US$ 20.741 em 2024, 8º de 8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hci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2010–2020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0,535 em 2020, 4º de 6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energia_importada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1990–2023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112,6% do uso em 2022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divida_publica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97,9% do PIB em 2020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wgi_rule_of_law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1996–2024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−0,08 em 2024, 3º de 7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solar_capacidade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116,6 MW em 2024, 4º de 7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solar_geracao_share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3,05% em 2024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renovaveis_geracao_share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2000–2024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12,6% em 2024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tarifa_eletricidade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2015–2025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US$ 0,32/kWh em 2025, preliminar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armazenamento_projetos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2019–2026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HESS 24,5 MW / 16,6 MWh operacional</w:t>
            </w:r>
          </w:p>
        </w:tc>
      </w:tr>
      <w:tr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populacao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1960–2024</w:t>
            </w:r>
          </w:p>
        </w:tc>
        <w:tc>
          <w:tcPr>
            <w:tcW w:type="dxa" w:w="33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18"/>
              </w:rPr>
              <w:t>2,84 milhões em 2024</w:t>
            </w:r>
          </w:p>
        </w:tc>
      </w:tr>
    </w:tbl>
    <w:p/>
    <w:p>
      <w:r>
        <w:t xml:space="preserve">Verificação: sem duplicatas nem NaN, três valores sorteados idênticos aos brutos. Lacunas registradas no catálogo e em </w:t>
      </w:r>
      <w:r>
        <w:rPr>
          <w:rFonts w:ascii="Consolas" w:hAnsi="Consolas" w:eastAsia="Consolas"/>
        </w:rPr>
        <w:t>verificacao.txt</w:t>
      </w:r>
      <w:r>
        <w:t>: LCN só existe no Banco Mundial, Barbados sem energia importada nem HCI, WGI sem 1997, 1999 e 2001, dívida no WDI muito irregular entre comparadores.</w:t>
      </w:r>
    </w:p>
    <w:p>
      <w:pPr>
        <w:pStyle w:val="Heading4"/>
      </w:pPr>
      <w:r>
        <w:t>Pendências suas</w:t>
      </w:r>
    </w:p>
    <w:p>
      <w:pPr>
        <w:pStyle w:val="ListNumber"/>
      </w:pPr>
      <w:r>
        <w:rPr>
          <w:b/>
        </w:rPr>
        <w:t>Quinta dimensão.</w:t>
      </w:r>
      <w:r>
        <w:t xml:space="preserve"> Recomendo </w:t>
      </w:r>
      <w:r>
        <w:rPr>
          <w:rFonts w:ascii="Consolas" w:hAnsi="Consolas" w:eastAsia="Consolas"/>
        </w:rPr>
        <w:t>energia_importada</w:t>
      </w:r>
      <w:r>
        <w:t xml:space="preserve">: é a ponte direta com a tese solar e cobre a Jamaica até 2022 com todos os comparadores exceto Barbados. </w:t>
      </w:r>
      <w:r>
        <w:rPr>
          <w:rFonts w:ascii="Consolas" w:hAnsi="Consolas" w:eastAsia="Consolas"/>
        </w:rPr>
        <w:t>wgi_rule_of_law</w:t>
      </w:r>
      <w:r>
        <w:t xml:space="preserve"> é a série mais completa. A dívida no WDI é insuficiente para comparar. A alternativa </w:t>
      </w:r>
      <w:r>
        <w:rPr>
          <w:rFonts w:ascii="Consolas" w:hAnsi="Consolas" w:eastAsia="Consolas"/>
        </w:rPr>
        <w:t>GGXWDG_NGDP</w:t>
      </w:r>
      <w:r>
        <w:t xml:space="preserve"> do FMI WEO funciona por GET na API SDMX 2.1, sem extrator novo, e está como bloco comentado no catálogo. Não ativei sem sua autorização.</w:t>
      </w:r>
    </w:p>
    <w:p>
      <w:pPr>
        <w:pStyle w:val="ListNumber"/>
      </w:pPr>
      <w:r>
        <w:rPr>
          <w:b/>
        </w:rPr>
        <w:t>Armazenamento.</w:t>
      </w:r>
      <w:r>
        <w:t xml:space="preserve"> Confirmar no site da JPS os MW do BESS de 171,5 MWh e o cronograma. Confirmar na GPE se a segunda rodada passou de 220 MW mais 110 MW/220 MWh para 300 MW mais 150 MW, como o ministro anunciou em maio de 2026. Escolher qual composição do HESS citar, já que a OUR diz 21 MW mais 3,5 MW e o IRP diz 20 MW mais 4,5 MW.</w:t>
      </w:r>
    </w:p>
    <w:p>
      <w:pPr>
        <w:pStyle w:val="ListNumber"/>
      </w:pPr>
      <w:r>
        <w:rPr>
          <w:b/>
        </w:rPr>
        <w:t>Tarifa.</w:t>
      </w:r>
      <w:r>
        <w:t xml:space="preserve"> A residencial está em J$/kWh. Converter para US$ exige adicionar </w:t>
      </w:r>
      <w:r>
        <w:rPr>
          <w:rFonts w:ascii="Consolas" w:hAnsi="Consolas" w:eastAsia="Consolas"/>
        </w:rPr>
        <w:t>PA.NUS.FCRF</w:t>
      </w:r>
      <w:r>
        <w:t xml:space="preserve"> ao catálogo. O valor de 2015 vem do IRP 2018, não do MSETT.</w:t>
      </w:r>
    </w:p>
    <w:p>
      <w:pPr>
        <w:pStyle w:val="ListNumber"/>
      </w:pPr>
      <w:r>
        <w:rPr>
          <w:b/>
        </w:rPr>
        <w:t>Período.</w:t>
      </w:r>
      <w:r>
        <w:t xml:space="preserve"> OWID e Ember já têm 2025 para parte do grupo. Decidir se </w:t>
      </w:r>
      <w:r>
        <w:rPr>
          <w:rFonts w:ascii="Consolas" w:hAnsi="Consolas" w:eastAsia="Consolas"/>
        </w:rPr>
        <w:t>periodo.fim</w:t>
      </w:r>
      <w:r>
        <w:t xml:space="preserve"> sobe para 2025.</w:t>
      </w:r>
    </w:p>
    <w:p>
      <w:pPr>
        <w:pStyle w:val="ListNumber"/>
      </w:pPr>
      <w:r>
        <w:t>[...]</w:t>
      </w:r>
    </w:p>
    <w:p>
      <w:pPr>
        <w:pStyle w:val="Heading3"/>
      </w:pPr>
      <w:r>
        <w:t>Anexo C — Mensagem do aluno na Sessão 3</w:t>
      </w:r>
    </w:p>
    <w:p>
      <w:pPr>
        <w:ind w:left="454"/>
      </w:pPr>
      <w:r>
        <w:rPr>
          <w:i/>
        </w:rPr>
        <w:t>Vamos usar energia_importada como quinta dimensão. Sobre o marmazenamento, vamos usar a OUR. Sobrte tarifa, vamos usar PA.NUS.FCRF. Vamos usar periodo.fim de 2025. [...]</w:t>
      </w:r>
    </w:p>
    <w:p>
      <w:r>
        <w:t>A resposta do Claude Code a essa mensagem está resumida na seção "Sessão 3" acima.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