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jc w:val="center"/>
        <w:rPr>
          <w:rFonts w:ascii="Times New Roman" w:cs="Times New Roman" w:eastAsia="Times New Roman" w:hAnsi="Times New Roman"/>
          <w:b w:val="1"/>
          <w:color w:val="000000"/>
          <w:sz w:val="20"/>
          <w:szCs w:val="20"/>
        </w:rPr>
      </w:pPr>
      <w:bookmarkStart w:colFirst="0" w:colLast="0" w:name="_vsuix9y4qxpp" w:id="0"/>
      <w:bookmarkEnd w:id="0"/>
      <w:r w:rsidDel="00000000" w:rsidR="00000000" w:rsidRPr="00000000">
        <w:rPr>
          <w:rFonts w:ascii="Times New Roman" w:cs="Times New Roman" w:eastAsia="Times New Roman" w:hAnsi="Times New Roman"/>
          <w:b w:val="1"/>
          <w:color w:val="000000"/>
          <w:sz w:val="20"/>
          <w:szCs w:val="20"/>
          <w:rtl w:val="0"/>
        </w:rPr>
        <w:t xml:space="preserve">How Decision Fatigue Affects Financial Planning and Saving Behaviour</w:t>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 era where individuals are overwhelmed with financial decisions daily, understanding the psychological factors that influence these decisions has become increasingly important. Decision fatigue is one of the most significant yet overlooked deterrents to poor financial decision-making. Decision fatigue, a term introduced by Roy F. Baumeister, refers to the mental exhaustion that results from making numerous decisions over time, ultimately leading to a reduction in the quality of subsequent choices. This paper explores how decision fatigue affects financial planning and saving behaviour. It provides an in-depth analysis of the psychological mechanisms involved, empirical evidence from scholarly studies, and potential interventions to mitigate its effects.</w:t>
      </w:r>
    </w:p>
    <w:p w:rsidR="00000000" w:rsidDel="00000000" w:rsidP="00000000" w:rsidRDefault="00000000" w:rsidRPr="00000000" w14:paraId="00000005">
      <w:pPr>
        <w:spacing w:after="240" w:before="24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Understanding Decision Fatigue </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fatigue arises from the finite nature of cognitive resources. When individuals make a series of decisions, their mental faculties become depleted, leading to impaired judgment, reduced self-control, and increased susceptibility to impulsive or avoidant behaviours. Baumeister’s pioneering research highlights that decision-making is energetically costly, and as mental reserves diminish, the likelihood of choosing suboptimal or risk-averse options increases (Baumeister et al. 1253).</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financial contexts, decision fatigue can manifest in several ways, including procrastination in planning, impulsive spending, or failure to adhere to long-term saving strategies. As financial markets and personal finance tools expand, individuals are confronted with an overwhelming array of options, further amplifying cognitive load. Barry Schwartz's paradox of choice exacerbates this phenomenon by increasing anxiety and dissatisfaction, ultimately leading to decision avoidance (Schwartz 99).</w:t>
      </w:r>
    </w:p>
    <w:p w:rsidR="00000000" w:rsidDel="00000000" w:rsidP="00000000" w:rsidRDefault="00000000" w:rsidRPr="00000000" w14:paraId="00000009">
      <w:pPr>
        <w:spacing w:after="240" w:before="24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Empirical Evidence of Decision Fatigue in Financial Behaviour</w:t>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comprehensive study by Danziger, Levav, and Avnaim-Pesso examined judicial decisions over ten months, revealing a significant decline in favourable rulings as the day progressed. While this study focused on legal contexts, its implications extend to financial decision-making, suggesting that fatigue influences risk assessment and conservative choices (Danziger et al. 6891). Similar patterns have been observed in economic environments. Kouchaki and Smith’s research on credit loan approvals demonstrated that fatigue led to a decrease in approval rates by approximately 11% during midday hours, costing institutions substantial revenue (Kouchaki and Smith 485).</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studies indicate that decision fatigue plays a critical role in consumer behaviour. A survey conducted by the National Bureau of Economic Research (NBER) found that individuals making multiple purchasing decisions were 18% more likely to overspend on non-essential items, driven by cognitive depletion (Madrian and Shea 1167). This highlights the broader implications of decision fatigue, extending beyond major financial investments to everyday spending patterns.</w:t>
      </w:r>
    </w:p>
    <w:p w:rsidR="00000000" w:rsidDel="00000000" w:rsidP="00000000" w:rsidRDefault="00000000" w:rsidRPr="00000000" w14:paraId="0000000D">
      <w:pPr>
        <w:spacing w:after="240" w:before="24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Psychological Mechanisms Behind Decision Fatigue </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dual-system theory proposed by Daniel Kahneman provides a robust framework for understanding the psychological mechanisms underlying decision fatigue. According to Kahneman, individuals operate using two cognitive systems: System 1 (fast, intuitive) and System 2 (slow, deliberative). Decision fatigue diminishes the capacity of System 2, resulting in a heightened reliance on System 1 (Kahneman 42). While System 1 can efficiently handle routine tasks, its susceptibility to biases and heuristics often leads to suboptimal financial decisions.</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 bias, a key component of behavioural economics, is exacerbated by decision fatigue. Individuals experiencing cognitive depletion are more likely to prioritize immediate gratification over long-term benefits, contributing to insufficient savings and higher debt levels. Ariely and Wertenbroch’s study on procrastination revealed that individuals facing multiple decisions deferred 22% more financial tasks than those with fewer decisions (Ariely and Wertenbroch 221). This pattern highlights how decision fatigue can derail financial planning, emphasizing the need for interventions that simplify and automate complex choices.</w:t>
      </w:r>
    </w:p>
    <w:p w:rsidR="00000000" w:rsidDel="00000000" w:rsidP="00000000" w:rsidRDefault="00000000" w:rsidRPr="00000000" w14:paraId="00000011">
      <w:pPr>
        <w:spacing w:after="240" w:before="24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Impact on Saving Behaviour </w:t>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impact of decision fatigue extends to saving behaviour, with significant consequences for retirement planning and wealth accumulation. A landmark study by Madrian and Shea investigated the influence of decision complexity on 401(k) participation rates. By simplifying enrollment options, participation rates increased by 67%, illustrating the detrimental effect of decision fatigue on long-term savings (Madrian and Shea 1152). Similarly, Iyengar and Lepper’s research demonstrated that reducing the number of investment options led to higher participation and greater overall savings (Iyengar and Lepper 1001).</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individuals experiencing decision fatigue are more prone to defaulting to pre-existing financial arrangements. While defaults can be beneficial when aligned with optimal financial outcomes, they may also perpetuate suboptimal investment strategies. For example, individuals enrolled in low-yield savings accounts are less likely to switch to higher-return options when fatigued, resulting in diminished wealth accumulation over time (Thaler and Sunstein 78).</w:t>
      </w:r>
    </w:p>
    <w:p w:rsidR="00000000" w:rsidDel="00000000" w:rsidP="00000000" w:rsidRDefault="00000000" w:rsidRPr="00000000" w14:paraId="00000015">
      <w:pPr>
        <w:spacing w:after="240" w:before="24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Behavioural Interventions and Policy Implications </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the pervasive nature of decision fatigue, policymakers and financial institutions have increasingly turned to behavioural interventions to improve financial outcomes. Richard Thaler and Cass Sunstein’s concept of “nudging” has gained traction as a means of guiding individuals toward better financial decisions without restricting freedom of choice (Thaler and Sunstein 115). One of the most effective nudges involves automatic enrollment in retirement plans, which capitalizes on the principle of inertia to boost participation rates.</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meta-analysis conducted by the Center for Retirement Research found that automatic enrollment increased participation in employer-sponsored retirement plans by 45%, significantly enhancing financial security (Benartzi and Thaler 170). Furthermore, automated investment platforms, commonly known as robo-advisors, have emerged as powerful tools for mitigating decision fatigue. By automating portfolio management, robo-advisors alleviate the cognitive burden associated with investment decisions, enabling individuals to achieve greater financial stability with minimal effort (Vanguard 6).</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literacy programs also play a crucial role in combating decision fatigue. Educational initiatives aimed at simplifying complex economic concepts and promoting heuristic decision-making have demonstrated positive outcomes. For example, interactive financial planning workshops that emphasize goal-setting and incremental savings strategies have been shown to reduce impulsive spending and increase long-term saving rates (Iyengar and Lepper 999).</w:t>
      </w:r>
    </w:p>
    <w:p w:rsidR="00000000" w:rsidDel="00000000" w:rsidP="00000000" w:rsidRDefault="00000000" w:rsidRPr="00000000" w14:paraId="0000001A">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 </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all, decision fatigue is undeniably a formidable obstacle in the pursuit of effective financial planning and long-term saving. As cognitive resources become taxed by the relentless pace and volume of economic decisions, individuals are more likely to succumb to factors like procrastination, impulsivity, and decision avoidance. The resulting behaviours—ranging from overspending to poor saving habits—have profound implications not only for individual financial health but also for broader economic stability.</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the insights gleaned from behavioural science offer powerful tools to address this challenge. By understanding how decision fatigue influences financial behaviour, institutions and policymakers can implement practical interventions such as automatic enrollment, simplified financial products, robo-advisors, and targeted education. These measures not only reduce cognitive load but also foster long-term financial discipline and resilience.</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Ultimately, acknowledging and addressing the psychological dimensions of financial decision-making allows us to move toward a more inclusive and sustainable economic future. In doing so, we empower individuals to regain control over their finances, not through willpower alone, but by creating environments that support thoughtful, informed, and beneficial choices</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spacing w:after="24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Cited</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Ariely, Dan, and Klaus Wertenbroch. "Procrastination, Deadlines, and Performance: Self-Control by Precommitment." </w:t>
      </w:r>
      <w:r w:rsidDel="00000000" w:rsidR="00000000" w:rsidRPr="00000000">
        <w:rPr>
          <w:rFonts w:ascii="Times New Roman" w:cs="Times New Roman" w:eastAsia="Times New Roman" w:hAnsi="Times New Roman"/>
          <w:i w:val="1"/>
          <w:sz w:val="20"/>
          <w:szCs w:val="20"/>
          <w:rtl w:val="0"/>
        </w:rPr>
        <w:t xml:space="preserve">Psychological Science</w:t>
      </w:r>
      <w:r w:rsidDel="00000000" w:rsidR="00000000" w:rsidRPr="00000000">
        <w:rPr>
          <w:rFonts w:ascii="Times New Roman" w:cs="Times New Roman" w:eastAsia="Times New Roman" w:hAnsi="Times New Roman"/>
          <w:sz w:val="20"/>
          <w:szCs w:val="20"/>
          <w:rtl w:val="0"/>
        </w:rPr>
        <w:t xml:space="preserve">, vol. 13, no. 3, 2002, pp. 219-224. </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Benartzi, Shlomo, and Richard H. Thaler. "Save More Tomorrow: Using Behavioural Economics to Increase Employee Saving." </w:t>
      </w:r>
      <w:r w:rsidDel="00000000" w:rsidR="00000000" w:rsidRPr="00000000">
        <w:rPr>
          <w:rFonts w:ascii="Times New Roman" w:cs="Times New Roman" w:eastAsia="Times New Roman" w:hAnsi="Times New Roman"/>
          <w:i w:val="1"/>
          <w:sz w:val="20"/>
          <w:szCs w:val="20"/>
          <w:rtl w:val="0"/>
        </w:rPr>
        <w:t xml:space="preserve">Journal of Political Economy</w:t>
      </w:r>
      <w:r w:rsidDel="00000000" w:rsidR="00000000" w:rsidRPr="00000000">
        <w:rPr>
          <w:rFonts w:ascii="Times New Roman" w:cs="Times New Roman" w:eastAsia="Times New Roman" w:hAnsi="Times New Roman"/>
          <w:sz w:val="20"/>
          <w:szCs w:val="20"/>
          <w:rtl w:val="0"/>
        </w:rPr>
        <w:t xml:space="preserve">, vol. 112, no. 1, 2004, pp. 164-187.</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Danziger, Shai, Jonathan Levav, and Liora Avnaim-Pesso. "Extraneous Factors in Judicial Decisions." </w:t>
      </w:r>
      <w:r w:rsidDel="00000000" w:rsidR="00000000" w:rsidRPr="00000000">
        <w:rPr>
          <w:rFonts w:ascii="Times New Roman" w:cs="Times New Roman" w:eastAsia="Times New Roman" w:hAnsi="Times New Roman"/>
          <w:i w:val="1"/>
          <w:sz w:val="20"/>
          <w:szCs w:val="20"/>
          <w:rtl w:val="0"/>
        </w:rPr>
        <w:t xml:space="preserve">Proceedings of the National Academy of Sciences</w:t>
      </w:r>
      <w:r w:rsidDel="00000000" w:rsidR="00000000" w:rsidRPr="00000000">
        <w:rPr>
          <w:rFonts w:ascii="Times New Roman" w:cs="Times New Roman" w:eastAsia="Times New Roman" w:hAnsi="Times New Roman"/>
          <w:sz w:val="20"/>
          <w:szCs w:val="20"/>
          <w:rtl w:val="0"/>
        </w:rPr>
        <w:t xml:space="preserve">, vol. 108, no. 17, 2011, pp. 6889-6892. </w:t>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Iyengar, Sheena S., and Mark R. Lepper. "When Choice is Demotivating: Can One Desire Too Much of a Good Thing?" </w:t>
      </w:r>
      <w:r w:rsidDel="00000000" w:rsidR="00000000" w:rsidRPr="00000000">
        <w:rPr>
          <w:rFonts w:ascii="Times New Roman" w:cs="Times New Roman" w:eastAsia="Times New Roman" w:hAnsi="Times New Roman"/>
          <w:i w:val="1"/>
          <w:sz w:val="20"/>
          <w:szCs w:val="20"/>
          <w:rtl w:val="0"/>
        </w:rPr>
        <w:t xml:space="preserve">Journal of Personality and Social Psychology</w:t>
      </w:r>
      <w:r w:rsidDel="00000000" w:rsidR="00000000" w:rsidRPr="00000000">
        <w:rPr>
          <w:rFonts w:ascii="Times New Roman" w:cs="Times New Roman" w:eastAsia="Times New Roman" w:hAnsi="Times New Roman"/>
          <w:sz w:val="20"/>
          <w:szCs w:val="20"/>
          <w:rtl w:val="0"/>
        </w:rPr>
        <w:t xml:space="preserve">, vol. 79, no. 6, 2000, pp. 995-1006. </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Kahneman, Daniel. </w:t>
      </w:r>
      <w:r w:rsidDel="00000000" w:rsidR="00000000" w:rsidRPr="00000000">
        <w:rPr>
          <w:rFonts w:ascii="Times New Roman" w:cs="Times New Roman" w:eastAsia="Times New Roman" w:hAnsi="Times New Roman"/>
          <w:i w:val="1"/>
          <w:sz w:val="20"/>
          <w:szCs w:val="20"/>
          <w:rtl w:val="0"/>
        </w:rPr>
        <w:t xml:space="preserve">Thinking, Fast and Slow</w:t>
      </w:r>
      <w:r w:rsidDel="00000000" w:rsidR="00000000" w:rsidRPr="00000000">
        <w:rPr>
          <w:rFonts w:ascii="Times New Roman" w:cs="Times New Roman" w:eastAsia="Times New Roman" w:hAnsi="Times New Roman"/>
          <w:sz w:val="20"/>
          <w:szCs w:val="20"/>
          <w:rtl w:val="0"/>
        </w:rPr>
        <w:t xml:space="preserve">. Farrar, Straus and Giroux, 2011. Kouchaki, Maryam, and Isaac H. Smith. "The Morning Morality Effect: The Influence of Time of Day on Unethical Behavior." </w:t>
      </w:r>
      <w:r w:rsidDel="00000000" w:rsidR="00000000" w:rsidRPr="00000000">
        <w:rPr>
          <w:rFonts w:ascii="Times New Roman" w:cs="Times New Roman" w:eastAsia="Times New Roman" w:hAnsi="Times New Roman"/>
          <w:i w:val="1"/>
          <w:sz w:val="20"/>
          <w:szCs w:val="20"/>
          <w:rtl w:val="0"/>
        </w:rPr>
        <w:t xml:space="preserve">Psychological Science</w:t>
      </w:r>
      <w:r w:rsidDel="00000000" w:rsidR="00000000" w:rsidRPr="00000000">
        <w:rPr>
          <w:rFonts w:ascii="Times New Roman" w:cs="Times New Roman" w:eastAsia="Times New Roman" w:hAnsi="Times New Roman"/>
          <w:sz w:val="20"/>
          <w:szCs w:val="20"/>
          <w:rtl w:val="0"/>
        </w:rPr>
        <w:t xml:space="preserve">, vol. 24, no. 4, 2013, pp. 482-488. </w:t>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Madrian, Brigitte C., and Dennis F. Shea. "The Power of Suggestion: Inertia in 401(k) Participation and Savings Behavior." </w:t>
      </w:r>
      <w:r w:rsidDel="00000000" w:rsidR="00000000" w:rsidRPr="00000000">
        <w:rPr>
          <w:rFonts w:ascii="Times New Roman" w:cs="Times New Roman" w:eastAsia="Times New Roman" w:hAnsi="Times New Roman"/>
          <w:i w:val="1"/>
          <w:sz w:val="20"/>
          <w:szCs w:val="20"/>
          <w:rtl w:val="0"/>
        </w:rPr>
        <w:t xml:space="preserve">The Quarterly Journal of Economics</w:t>
      </w:r>
      <w:r w:rsidDel="00000000" w:rsidR="00000000" w:rsidRPr="00000000">
        <w:rPr>
          <w:rFonts w:ascii="Times New Roman" w:cs="Times New Roman" w:eastAsia="Times New Roman" w:hAnsi="Times New Roman"/>
          <w:sz w:val="20"/>
          <w:szCs w:val="20"/>
          <w:rtl w:val="0"/>
        </w:rPr>
        <w:t xml:space="preserve">, vol. 116, no. 4, 2001, pp. 1149-1187. Schwartz, Barry. </w:t>
      </w:r>
      <w:r w:rsidDel="00000000" w:rsidR="00000000" w:rsidRPr="00000000">
        <w:rPr>
          <w:rFonts w:ascii="Times New Roman" w:cs="Times New Roman" w:eastAsia="Times New Roman" w:hAnsi="Times New Roman"/>
          <w:i w:val="1"/>
          <w:sz w:val="20"/>
          <w:szCs w:val="20"/>
          <w:rtl w:val="0"/>
        </w:rPr>
        <w:t xml:space="preserve">The Paradox of Choice: Why More is Less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A">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Harper Perennial, 2004. Thaler, Richard H., and Cass R. Sunstein. </w:t>
      </w:r>
      <w:r w:rsidDel="00000000" w:rsidR="00000000" w:rsidRPr="00000000">
        <w:rPr>
          <w:rFonts w:ascii="Times New Roman" w:cs="Times New Roman" w:eastAsia="Times New Roman" w:hAnsi="Times New Roman"/>
          <w:i w:val="1"/>
          <w:sz w:val="20"/>
          <w:szCs w:val="20"/>
          <w:rtl w:val="0"/>
        </w:rPr>
        <w:t xml:space="preserve">Nudge: Improving Decisions About Health, Wealth, and Happiness</w:t>
      </w:r>
      <w:r w:rsidDel="00000000" w:rsidR="00000000" w:rsidRPr="00000000">
        <w:rPr>
          <w:rFonts w:ascii="Times New Roman" w:cs="Times New Roman" w:eastAsia="Times New Roman" w:hAnsi="Times New Roman"/>
          <w:sz w:val="20"/>
          <w:szCs w:val="20"/>
          <w:rtl w:val="0"/>
        </w:rPr>
        <w:t xml:space="preserve">. Yale University Press, 2008. </w:t>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Vanguard. "Assessing the Value of Advice: Robo-advisors vs. Human Advisors." </w:t>
      </w:r>
      <w:r w:rsidDel="00000000" w:rsidR="00000000" w:rsidRPr="00000000">
        <w:rPr>
          <w:rFonts w:ascii="Times New Roman" w:cs="Times New Roman" w:eastAsia="Times New Roman" w:hAnsi="Times New Roman"/>
          <w:i w:val="1"/>
          <w:sz w:val="20"/>
          <w:szCs w:val="20"/>
          <w:rtl w:val="0"/>
        </w:rPr>
        <w:t xml:space="preserve">Vanguard Research</w:t>
      </w:r>
      <w:r w:rsidDel="00000000" w:rsidR="00000000" w:rsidRPr="00000000">
        <w:rPr>
          <w:rFonts w:ascii="Times New Roman" w:cs="Times New Roman" w:eastAsia="Times New Roman" w:hAnsi="Times New Roman"/>
          <w:sz w:val="20"/>
          <w:szCs w:val="20"/>
          <w:rtl w:val="0"/>
        </w:rPr>
        <w:t xml:space="preserve">, 2018.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