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EE204" w14:textId="77777777" w:rsidR="001C59D9" w:rsidRDefault="001C59D9" w:rsidP="001C59D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r-Cyrl-RS"/>
        </w:rPr>
        <w:t>Карте са тумачењем и описом ризика од шумских пожара</w:t>
      </w:r>
    </w:p>
    <w:p w14:paraId="18417312" w14:textId="77777777" w:rsidR="001C59D9" w:rsidRDefault="001C59D9" w:rsidP="001C59D9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sr-Cyrl-RS"/>
        </w:rPr>
      </w:pPr>
    </w:p>
    <w:p w14:paraId="21E8352F" w14:textId="77777777" w:rsidR="001C59D9" w:rsidRDefault="001C59D9" w:rsidP="001C59D9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Подложност настанку шумских пожара израчуната је на основу формуле (</w:t>
      </w:r>
      <w:bookmarkStart w:id="0" w:name="_Hlk75971868"/>
      <w:r>
        <w:rPr>
          <w:rFonts w:ascii="Times New Roman" w:hAnsi="Times New Roman" w:cs="Times New Roman"/>
          <w:sz w:val="24"/>
          <w:szCs w:val="24"/>
          <w:lang w:val="sr-Cyrl-RS"/>
        </w:rPr>
        <w:t xml:space="preserve">Erten </w:t>
      </w:r>
      <w:r>
        <w:rPr>
          <w:rFonts w:ascii="Times New Roman" w:hAnsi="Times New Roman" w:cs="Times New Roman"/>
          <w:sz w:val="24"/>
          <w:szCs w:val="24"/>
          <w:lang w:val="en-GB"/>
        </w:rPr>
        <w:t>et al.</w:t>
      </w:r>
      <w:r>
        <w:rPr>
          <w:rFonts w:ascii="Times New Roman" w:hAnsi="Times New Roman" w:cs="Times New Roman"/>
          <w:sz w:val="24"/>
          <w:szCs w:val="24"/>
          <w:lang w:val="sr-Cyrl-RS"/>
        </w:rPr>
        <w:t>, 2004</w:t>
      </w:r>
      <w:bookmarkEnd w:id="0"/>
      <w:r>
        <w:rPr>
          <w:rFonts w:ascii="Times New Roman" w:hAnsi="Times New Roman" w:cs="Times New Roman"/>
          <w:sz w:val="24"/>
          <w:szCs w:val="24"/>
          <w:lang w:val="sr-Cyrl-RS"/>
        </w:rPr>
        <w:t>):</w:t>
      </w:r>
    </w:p>
    <w:p w14:paraId="644D1607" w14:textId="77777777" w:rsidR="001C59D9" w:rsidRDefault="001C59D9" w:rsidP="001C59D9">
      <w:pPr>
        <w:jc w:val="center"/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RC=7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+5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S+A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+(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14:paraId="7C52EF18" w14:textId="77777777" w:rsidR="001C59D9" w:rsidRDefault="001C59D9" w:rsidP="001C59D9">
      <w:pPr>
        <w:jc w:val="both"/>
        <w:rPr>
          <w:rFonts w:ascii="Times New Roman" w:eastAsiaTheme="minorEastAsia" w:hAnsi="Times New Roman" w:cs="Times New Roman"/>
          <w:sz w:val="24"/>
          <w:szCs w:val="24"/>
          <w:lang w:val="sr-Cyrl-RS"/>
        </w:rPr>
      </w:pPr>
      <w:r>
        <w:rPr>
          <w:rFonts w:ascii="Times New Roman" w:eastAsiaTheme="minorEastAsia" w:hAnsi="Times New Roman" w:cs="Times New Roman"/>
          <w:sz w:val="24"/>
          <w:szCs w:val="24"/>
          <w:lang w:val="sr-Cyrl-RS"/>
        </w:rPr>
        <w:t>где је RC – индекс подложности настанку шумских пожара, V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sr-Cyrl-RS"/>
        </w:rPr>
        <w:t>T</w:t>
      </w:r>
      <w:r>
        <w:rPr>
          <w:rFonts w:ascii="Times New Roman" w:eastAsiaTheme="minorEastAsia" w:hAnsi="Times New Roman" w:cs="Times New Roman"/>
          <w:sz w:val="24"/>
          <w:szCs w:val="24"/>
          <w:lang w:val="sr-Cyrl-RS"/>
        </w:rPr>
        <w:t xml:space="preserve"> – индекс типа вегетације, S – индекс нагиба терена, A – индекс експозиције рељефа, D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sr-Cyrl-RS"/>
        </w:rPr>
        <w:t>R</w:t>
      </w:r>
      <w:r>
        <w:rPr>
          <w:rFonts w:ascii="Times New Roman" w:eastAsiaTheme="minorEastAsia" w:hAnsi="Times New Roman" w:cs="Times New Roman"/>
          <w:sz w:val="24"/>
          <w:szCs w:val="24"/>
          <w:lang w:val="sr-Cyrl-RS"/>
        </w:rPr>
        <w:t xml:space="preserve"> – индекс удаљенсоти од саобраћајница и D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  <w:lang w:val="sr-Cyrl-RS"/>
        </w:rPr>
        <w:t>S</w:t>
      </w:r>
      <w:r>
        <w:rPr>
          <w:rFonts w:ascii="Times New Roman" w:eastAsiaTheme="minorEastAsia" w:hAnsi="Times New Roman" w:cs="Times New Roman"/>
          <w:sz w:val="24"/>
          <w:szCs w:val="24"/>
          <w:lang w:val="sr-Cyrl-RS"/>
        </w:rPr>
        <w:t xml:space="preserve"> – индекс удаљенсоти од насеља.</w:t>
      </w:r>
    </w:p>
    <w:p w14:paraId="14AB62C8" w14:textId="77777777" w:rsidR="001C59D9" w:rsidRDefault="001C59D9" w:rsidP="001C59D9">
      <w:pPr>
        <w:jc w:val="both"/>
        <w:rPr>
          <w:rFonts w:ascii="Times New Roman" w:eastAsiaTheme="minorEastAsia" w:hAnsi="Times New Roman" w:cs="Times New Roman"/>
          <w:sz w:val="24"/>
          <w:szCs w:val="24"/>
          <w:lang w:val="sr-Cyrl-RS"/>
        </w:rPr>
      </w:pPr>
      <w:r>
        <w:rPr>
          <w:rFonts w:ascii="Times New Roman" w:eastAsiaTheme="minorEastAsia" w:hAnsi="Times New Roman" w:cs="Times New Roman"/>
          <w:sz w:val="24"/>
          <w:szCs w:val="24"/>
          <w:lang w:val="sr-Cyrl-RS"/>
        </w:rPr>
        <w:t>Сваком фактору додељен је значај у односу на ниво хазарда. Додељене вредности крећу се од 1 (врло ниска подложност) до 5 (врло висока подложност)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  <w:lang w:val="sr-Cyrl-RS"/>
        </w:rPr>
        <w:t>табела 1.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sr-Cyrl-RS"/>
        </w:rPr>
        <w:t>. Тип вегетације (тј. начин коришћења простора) представља најважнији фактор, затим су најбитније рељефне карактеристике – нагиб и експозиција, а антропогени фактор налази се на последњем месту.</w:t>
      </w:r>
    </w:p>
    <w:p w14:paraId="0DF95E43" w14:textId="77777777" w:rsidR="001C59D9" w:rsidRDefault="001C59D9" w:rsidP="001C59D9">
      <w:pPr>
        <w:spacing w:after="0" w:line="240" w:lineRule="auto"/>
        <w:jc w:val="center"/>
        <w:rPr>
          <w:rFonts w:ascii="Times New Roman" w:hAnsi="Times New Roman" w:cs="Times New Roman"/>
          <w:i/>
          <w:iCs/>
          <w:lang w:val="sr-Cyrl-RS"/>
        </w:rPr>
      </w:pPr>
      <w:r>
        <w:rPr>
          <w:rFonts w:ascii="Times New Roman" w:eastAsiaTheme="minorEastAsia" w:hAnsi="Times New Roman" w:cs="Times New Roman"/>
          <w:i/>
          <w:iCs/>
          <w:lang w:val="sr-Cyrl-RS"/>
        </w:rPr>
        <w:t xml:space="preserve">Табела 1. </w:t>
      </w:r>
      <w:r>
        <w:rPr>
          <w:rFonts w:ascii="Times New Roman" w:hAnsi="Times New Roman" w:cs="Times New Roman"/>
          <w:i/>
          <w:iCs/>
          <w:lang w:val="sr-Cyrl-RS"/>
        </w:rPr>
        <w:t>Класе појединачнх индекса потребних за израчунавање индекса подложности настанку шумских пожара</w:t>
      </w:r>
    </w:p>
    <w:tbl>
      <w:tblPr>
        <w:tblStyle w:val="GridTable4-Accent2"/>
        <w:tblW w:w="10216" w:type="dxa"/>
        <w:jc w:val="center"/>
        <w:tblInd w:w="0" w:type="dxa"/>
        <w:tblLook w:val="04A0" w:firstRow="1" w:lastRow="0" w:firstColumn="1" w:lastColumn="0" w:noHBand="0" w:noVBand="1"/>
      </w:tblPr>
      <w:tblGrid>
        <w:gridCol w:w="2233"/>
        <w:gridCol w:w="1563"/>
        <w:gridCol w:w="2434"/>
        <w:gridCol w:w="783"/>
        <w:gridCol w:w="1187"/>
        <w:gridCol w:w="1073"/>
        <w:gridCol w:w="943"/>
      </w:tblGrid>
      <w:tr w:rsidR="001C59D9" w14:paraId="2FA79AB6" w14:textId="77777777" w:rsidTr="001C59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noWrap/>
            <w:vAlign w:val="center"/>
            <w:hideMark/>
          </w:tcPr>
          <w:p w14:paraId="32A1EE62" w14:textId="77777777" w:rsidR="001C59D9" w:rsidRDefault="001C59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Класа подложности</w:t>
            </w:r>
          </w:p>
        </w:tc>
        <w:tc>
          <w:tcPr>
            <w:tcW w:w="1563" w:type="dxa"/>
            <w:vAlign w:val="center"/>
            <w:hideMark/>
          </w:tcPr>
          <w:p w14:paraId="0942E85E" w14:textId="77777777" w:rsidR="001C59D9" w:rsidRDefault="001C59D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Вредност</w:t>
            </w:r>
          </w:p>
        </w:tc>
        <w:tc>
          <w:tcPr>
            <w:tcW w:w="2434" w:type="dxa"/>
            <w:vAlign w:val="center"/>
            <w:hideMark/>
          </w:tcPr>
          <w:p w14:paraId="66D90B8E" w14:textId="77777777" w:rsidR="001C59D9" w:rsidRDefault="001C59D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V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  <w:lang w:val="sr-Cyrl-RS"/>
              </w:rPr>
              <w:t>T</w:t>
            </w:r>
          </w:p>
        </w:tc>
        <w:tc>
          <w:tcPr>
            <w:tcW w:w="783" w:type="dxa"/>
            <w:vAlign w:val="center"/>
            <w:hideMark/>
          </w:tcPr>
          <w:p w14:paraId="2F9D2346" w14:textId="77777777" w:rsidR="001C59D9" w:rsidRDefault="001C59D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S [°]</w:t>
            </w:r>
          </w:p>
        </w:tc>
        <w:tc>
          <w:tcPr>
            <w:tcW w:w="1187" w:type="dxa"/>
            <w:vAlign w:val="center"/>
            <w:hideMark/>
          </w:tcPr>
          <w:p w14:paraId="3A5F025B" w14:textId="77777777" w:rsidR="001C59D9" w:rsidRDefault="001C59D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A [°]</w:t>
            </w:r>
          </w:p>
        </w:tc>
        <w:tc>
          <w:tcPr>
            <w:tcW w:w="1073" w:type="dxa"/>
            <w:vAlign w:val="center"/>
            <w:hideMark/>
          </w:tcPr>
          <w:p w14:paraId="69EA334C" w14:textId="77777777" w:rsidR="001C59D9" w:rsidRDefault="001C59D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  <w:lang w:val="sr-Cyrl-RS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 xml:space="preserve"> [m]</w:t>
            </w:r>
          </w:p>
        </w:tc>
        <w:tc>
          <w:tcPr>
            <w:tcW w:w="943" w:type="dxa"/>
            <w:vAlign w:val="center"/>
            <w:hideMark/>
          </w:tcPr>
          <w:p w14:paraId="58BEED6F" w14:textId="77777777" w:rsidR="001C59D9" w:rsidRDefault="001C59D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vertAlign w:val="subscript"/>
                <w:lang w:val="sr-Cyrl-RS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 xml:space="preserve"> [m]</w:t>
            </w:r>
          </w:p>
        </w:tc>
      </w:tr>
      <w:tr w:rsidR="001C59D9" w14:paraId="56011F9D" w14:textId="77777777" w:rsidTr="001C5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noWrap/>
            <w:vAlign w:val="center"/>
            <w:hideMark/>
          </w:tcPr>
          <w:p w14:paraId="4BE6F45C" w14:textId="77777777" w:rsidR="001C59D9" w:rsidRDefault="001C59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Врло висока</w:t>
            </w:r>
          </w:p>
        </w:tc>
        <w:tc>
          <w:tcPr>
            <w:tcW w:w="156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763948C2" w14:textId="77777777" w:rsidR="001C59D9" w:rsidRDefault="001C59D9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5</w:t>
            </w:r>
          </w:p>
        </w:tc>
        <w:tc>
          <w:tcPr>
            <w:tcW w:w="2434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0EA9246E" w14:textId="77777777" w:rsidR="001C59D9" w:rsidRDefault="001C59D9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Четинарске шуме</w:t>
            </w:r>
          </w:p>
        </w:tc>
        <w:tc>
          <w:tcPr>
            <w:tcW w:w="78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09E73D72" w14:textId="77777777" w:rsidR="001C59D9" w:rsidRDefault="001C59D9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&gt;35</w:t>
            </w:r>
          </w:p>
        </w:tc>
        <w:tc>
          <w:tcPr>
            <w:tcW w:w="118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072CFBB6" w14:textId="77777777" w:rsidR="001C59D9" w:rsidRDefault="001C59D9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S (157.5-202.5)</w:t>
            </w:r>
          </w:p>
        </w:tc>
        <w:tc>
          <w:tcPr>
            <w:tcW w:w="107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63C1188E" w14:textId="77777777" w:rsidR="001C59D9" w:rsidRDefault="001C59D9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&lt;500</w:t>
            </w:r>
          </w:p>
        </w:tc>
        <w:tc>
          <w:tcPr>
            <w:tcW w:w="94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01D7FC92" w14:textId="77777777" w:rsidR="001C59D9" w:rsidRDefault="001C59D9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&lt;200</w:t>
            </w:r>
          </w:p>
        </w:tc>
      </w:tr>
      <w:tr w:rsidR="001C59D9" w14:paraId="25E48B0C" w14:textId="77777777" w:rsidTr="001C59D9">
        <w:trPr>
          <w:trHeight w:val="2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vMerge w:val="restart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noWrap/>
            <w:vAlign w:val="center"/>
            <w:hideMark/>
          </w:tcPr>
          <w:p w14:paraId="0426BB2F" w14:textId="77777777" w:rsidR="001C59D9" w:rsidRDefault="001C59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Висока</w:t>
            </w:r>
          </w:p>
        </w:tc>
        <w:tc>
          <w:tcPr>
            <w:tcW w:w="1563" w:type="dxa"/>
            <w:vMerge w:val="restart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5CE7A8D4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4</w:t>
            </w:r>
          </w:p>
        </w:tc>
        <w:tc>
          <w:tcPr>
            <w:tcW w:w="2434" w:type="dxa"/>
            <w:vMerge w:val="restart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3E44B40B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Мешовите шуме, дрвенасто жбунаста вегетација</w:t>
            </w:r>
          </w:p>
        </w:tc>
        <w:tc>
          <w:tcPr>
            <w:tcW w:w="783" w:type="dxa"/>
            <w:vMerge w:val="restart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6CBBDA77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25-35</w:t>
            </w:r>
          </w:p>
        </w:tc>
        <w:tc>
          <w:tcPr>
            <w:tcW w:w="118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7DB90A94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SE (112.5-157.5);</w:t>
            </w:r>
          </w:p>
        </w:tc>
        <w:tc>
          <w:tcPr>
            <w:tcW w:w="1073" w:type="dxa"/>
            <w:vMerge w:val="restart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3ED7B9A4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500-1000</w:t>
            </w:r>
          </w:p>
        </w:tc>
        <w:tc>
          <w:tcPr>
            <w:tcW w:w="943" w:type="dxa"/>
            <w:vMerge w:val="restart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74F99560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200-400</w:t>
            </w:r>
          </w:p>
        </w:tc>
      </w:tr>
      <w:tr w:rsidR="001C59D9" w14:paraId="42E63033" w14:textId="77777777" w:rsidTr="001C5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4BB718E9" w14:textId="77777777" w:rsidR="001C59D9" w:rsidRDefault="001C59D9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</w:p>
        </w:tc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4A437C69" w14:textId="77777777" w:rsidR="001C59D9" w:rsidRDefault="001C59D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</w:p>
        </w:tc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1A0892DA" w14:textId="77777777" w:rsidR="001C59D9" w:rsidRDefault="001C59D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</w:p>
        </w:tc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55F66C57" w14:textId="77777777" w:rsidR="001C59D9" w:rsidRDefault="001C59D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</w:p>
        </w:tc>
        <w:tc>
          <w:tcPr>
            <w:tcW w:w="118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69A739D1" w14:textId="77777777" w:rsidR="001C59D9" w:rsidRDefault="001C59D9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SW (202.5-247.5)</w:t>
            </w:r>
          </w:p>
        </w:tc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4F61FC90" w14:textId="77777777" w:rsidR="001C59D9" w:rsidRDefault="001C59D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</w:p>
        </w:tc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7D2300E4" w14:textId="77777777" w:rsidR="001C59D9" w:rsidRDefault="001C59D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</w:p>
        </w:tc>
      </w:tr>
      <w:tr w:rsidR="001C59D9" w14:paraId="33EC8482" w14:textId="77777777" w:rsidTr="001C59D9">
        <w:trPr>
          <w:trHeight w:val="2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vMerge w:val="restart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noWrap/>
            <w:vAlign w:val="center"/>
            <w:hideMark/>
          </w:tcPr>
          <w:p w14:paraId="13D3FAA8" w14:textId="77777777" w:rsidR="001C59D9" w:rsidRDefault="001C59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Средња</w:t>
            </w:r>
          </w:p>
        </w:tc>
        <w:tc>
          <w:tcPr>
            <w:tcW w:w="1563" w:type="dxa"/>
            <w:vMerge w:val="restart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4643C89C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3</w:t>
            </w:r>
          </w:p>
        </w:tc>
        <w:tc>
          <w:tcPr>
            <w:tcW w:w="2434" w:type="dxa"/>
            <w:vMerge w:val="restart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3173F0C0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Листопадне шуме</w:t>
            </w:r>
          </w:p>
        </w:tc>
        <w:tc>
          <w:tcPr>
            <w:tcW w:w="783" w:type="dxa"/>
            <w:vMerge w:val="restart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47E7B4B1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10-25</w:t>
            </w:r>
          </w:p>
        </w:tc>
        <w:tc>
          <w:tcPr>
            <w:tcW w:w="118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1F0BB3F5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E (67.5-112.5);</w:t>
            </w:r>
          </w:p>
        </w:tc>
        <w:tc>
          <w:tcPr>
            <w:tcW w:w="1073" w:type="dxa"/>
            <w:vMerge w:val="restart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1F0386B0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1000-1500</w:t>
            </w:r>
          </w:p>
        </w:tc>
        <w:tc>
          <w:tcPr>
            <w:tcW w:w="943" w:type="dxa"/>
            <w:vMerge w:val="restart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6552C8C1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400-600</w:t>
            </w:r>
          </w:p>
        </w:tc>
      </w:tr>
      <w:tr w:rsidR="001C59D9" w14:paraId="1CC70A4F" w14:textId="77777777" w:rsidTr="001C5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13A43463" w14:textId="77777777" w:rsidR="001C59D9" w:rsidRDefault="001C59D9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</w:p>
        </w:tc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1D7A868B" w14:textId="77777777" w:rsidR="001C59D9" w:rsidRDefault="001C59D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</w:p>
        </w:tc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00884E67" w14:textId="77777777" w:rsidR="001C59D9" w:rsidRDefault="001C59D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</w:p>
        </w:tc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083478F9" w14:textId="77777777" w:rsidR="001C59D9" w:rsidRDefault="001C59D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</w:p>
        </w:tc>
        <w:tc>
          <w:tcPr>
            <w:tcW w:w="118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60119ABC" w14:textId="77777777" w:rsidR="001C59D9" w:rsidRDefault="001C59D9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W (247.5-292.5)</w:t>
            </w:r>
          </w:p>
        </w:tc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1E69FF12" w14:textId="77777777" w:rsidR="001C59D9" w:rsidRDefault="001C59D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</w:p>
        </w:tc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636B0C62" w14:textId="77777777" w:rsidR="001C59D9" w:rsidRDefault="001C59D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</w:p>
        </w:tc>
      </w:tr>
      <w:tr w:rsidR="001C59D9" w14:paraId="1E8B0D06" w14:textId="77777777" w:rsidTr="001C59D9">
        <w:trPr>
          <w:trHeight w:val="2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vMerge w:val="restart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noWrap/>
            <w:vAlign w:val="center"/>
            <w:hideMark/>
          </w:tcPr>
          <w:p w14:paraId="1AE33219" w14:textId="77777777" w:rsidR="001C59D9" w:rsidRDefault="001C59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Делимично ниска</w:t>
            </w:r>
          </w:p>
        </w:tc>
        <w:tc>
          <w:tcPr>
            <w:tcW w:w="1563" w:type="dxa"/>
            <w:vMerge w:val="restart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1905A1CE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2</w:t>
            </w:r>
          </w:p>
        </w:tc>
        <w:tc>
          <w:tcPr>
            <w:tcW w:w="2434" w:type="dxa"/>
            <w:vMerge w:val="restart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081D2292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Пољопривредне површине, ливаде, пашњаци</w:t>
            </w:r>
          </w:p>
        </w:tc>
        <w:tc>
          <w:tcPr>
            <w:tcW w:w="783" w:type="dxa"/>
            <w:vMerge w:val="restart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60C4007F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5-10</w:t>
            </w:r>
          </w:p>
        </w:tc>
        <w:tc>
          <w:tcPr>
            <w:tcW w:w="118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5A53F096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NE (22.5-67.5);</w:t>
            </w:r>
          </w:p>
        </w:tc>
        <w:tc>
          <w:tcPr>
            <w:tcW w:w="1073" w:type="dxa"/>
            <w:vMerge w:val="restart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61418C46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1500-2000</w:t>
            </w:r>
          </w:p>
        </w:tc>
        <w:tc>
          <w:tcPr>
            <w:tcW w:w="943" w:type="dxa"/>
            <w:vMerge w:val="restart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2AAF34D8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600-800</w:t>
            </w:r>
          </w:p>
        </w:tc>
      </w:tr>
      <w:tr w:rsidR="001C59D9" w14:paraId="01DA1B5B" w14:textId="77777777" w:rsidTr="001C5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577F6EC1" w14:textId="77777777" w:rsidR="001C59D9" w:rsidRDefault="001C59D9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</w:p>
        </w:tc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4EC8B835" w14:textId="77777777" w:rsidR="001C59D9" w:rsidRDefault="001C59D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</w:p>
        </w:tc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054F97C8" w14:textId="77777777" w:rsidR="001C59D9" w:rsidRDefault="001C59D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</w:p>
        </w:tc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597E94EB" w14:textId="77777777" w:rsidR="001C59D9" w:rsidRDefault="001C59D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</w:p>
        </w:tc>
        <w:tc>
          <w:tcPr>
            <w:tcW w:w="118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6823DD3A" w14:textId="77777777" w:rsidR="001C59D9" w:rsidRDefault="001C59D9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NW (292.5-337.5)</w:t>
            </w:r>
          </w:p>
        </w:tc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42EADC74" w14:textId="77777777" w:rsidR="001C59D9" w:rsidRDefault="001C59D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</w:p>
        </w:tc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47181493" w14:textId="77777777" w:rsidR="001C59D9" w:rsidRDefault="001C59D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</w:p>
        </w:tc>
      </w:tr>
      <w:tr w:rsidR="001C59D9" w14:paraId="56DC9785" w14:textId="77777777" w:rsidTr="001C59D9">
        <w:trPr>
          <w:trHeight w:val="10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noWrap/>
            <w:vAlign w:val="center"/>
            <w:hideMark/>
          </w:tcPr>
          <w:p w14:paraId="27581E45" w14:textId="77777777" w:rsidR="001C59D9" w:rsidRDefault="001C59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Ниска</w:t>
            </w:r>
          </w:p>
        </w:tc>
        <w:tc>
          <w:tcPr>
            <w:tcW w:w="156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7A8DF6FC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1</w:t>
            </w:r>
          </w:p>
        </w:tc>
        <w:tc>
          <w:tcPr>
            <w:tcW w:w="2434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3349220D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Изграђене површине, водене површине, површине са оскудном вегетацијом</w:t>
            </w:r>
          </w:p>
        </w:tc>
        <w:tc>
          <w:tcPr>
            <w:tcW w:w="78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17AC13FB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&lt;5</w:t>
            </w:r>
          </w:p>
        </w:tc>
        <w:tc>
          <w:tcPr>
            <w:tcW w:w="1187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3F87540F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N (0-22.5,</w:t>
            </w:r>
          </w:p>
          <w:p w14:paraId="45B08F0D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337.5-360)</w:t>
            </w:r>
          </w:p>
        </w:tc>
        <w:tc>
          <w:tcPr>
            <w:tcW w:w="107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216CCA21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&gt;2000</w:t>
            </w:r>
          </w:p>
        </w:tc>
        <w:tc>
          <w:tcPr>
            <w:tcW w:w="94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vAlign w:val="center"/>
            <w:hideMark/>
          </w:tcPr>
          <w:p w14:paraId="659316BF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&gt;800</w:t>
            </w:r>
          </w:p>
        </w:tc>
      </w:tr>
    </w:tbl>
    <w:p w14:paraId="67ADA600" w14:textId="77777777" w:rsidR="001C59D9" w:rsidRDefault="001C59D9" w:rsidP="001C59D9">
      <w:pPr>
        <w:jc w:val="both"/>
        <w:rPr>
          <w:rFonts w:ascii="Times New Roman" w:eastAsiaTheme="minorEastAsia" w:hAnsi="Times New Roman" w:cs="Times New Roman"/>
          <w:sz w:val="24"/>
          <w:szCs w:val="24"/>
          <w:lang w:val="sr-Cyrl-RS"/>
        </w:rPr>
      </w:pPr>
      <w:r>
        <w:rPr>
          <w:rFonts w:ascii="Times New Roman" w:eastAsiaTheme="minorEastAsia" w:hAnsi="Times New Roman" w:cs="Times New Roman"/>
          <w:sz w:val="24"/>
          <w:szCs w:val="24"/>
          <w:lang w:val="sr-Cyrl-RS"/>
        </w:rPr>
        <w:t xml:space="preserve">Као што је већ напоменуто, сви фактори сврстани су у 5 класа. Класе коришћења простора разврстане су на основу типа вегетације и додељене су им вредности од 1 до 5. Са обзиром на то да се највећи део општине налази под листопадним шумама и пољопривредним површинама, очекује се да вредност овог фактора утиче на већу опасност од избијања пожара. Карактеристике рељефа (нагиб и експозиција) као и код клизишта, добијени су израчунавањем из дигиталног модела висина. Затим су нагиб и експозиција класификовани према класама наведеним у табели 1. тога већи нагиби имају већу подложност за настанак и ширење пожара. Експозиције рељефа као што је већ напоменуто, не добијају исту количину Сунчеве топлоте. Експозиције у оквиру овог рада сврстане су у 9 класа (укључујући и неекспониране површине) и њима су додељене класе од 1 до 5. Највећа вредност додељује се експозицији која добија највише Сунчеве </w:t>
      </w:r>
      <w:r>
        <w:rPr>
          <w:rFonts w:ascii="Times New Roman" w:eastAsiaTheme="minorEastAsia" w:hAnsi="Times New Roman" w:cs="Times New Roman"/>
          <w:sz w:val="24"/>
          <w:szCs w:val="24"/>
          <w:lang w:val="sr-Cyrl-RS"/>
        </w:rPr>
        <w:lastRenderedPageBreak/>
        <w:t xml:space="preserve">топлоте током године (јужна експозиција), а најмања вредност северној експозицији. Антропогени фактори који су укључени у овај рад, удаљеност објеката и удаљеност од саобраћајница, дигитализовани су са сателитских снимака и одговарајућих топографских карата. Према табели 1. удаљености су сврстане у одговарајуће класе, што је удаљеност већа, то је класа угрожености мања због смањења антропогеног утицаја у удаљенијим зонама. За потребе овог рада за удаљеност од објеката узета је основна дистанца од 500 m и свака следећа зона повећава се за 500 m, а за удаљеност од путева основна дистанца износи 200 m и свака следећа зона се повећава за исто толико. У обзир су узети сви објекти приказани на сателитском снимку и сви путеви укључујући и шумске стазе и мање прометне локалне путеве. Након припреме свих индекса, вредности су убачене у формулу за израчунавање подложности настанка шумских пожара наведену у претходном поглављу. Као резултат добија се вредност индекса подложности настанка шумских пожара који се креће у опсегу од 35 до 108 (слика 1.).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Средња вредност индекса за територију општине износи 73.51. </w:t>
      </w:r>
      <w:r>
        <w:rPr>
          <w:rFonts w:ascii="Times New Roman" w:eastAsiaTheme="minorEastAsia" w:hAnsi="Times New Roman" w:cs="Times New Roman"/>
          <w:sz w:val="24"/>
          <w:szCs w:val="24"/>
          <w:lang w:val="sr-Cyrl-RS"/>
        </w:rPr>
        <w:t>Потом је извршена класификација у оквиру класа подложности настанку шумског пожара. Класификација је извршена на 4 класе (слика 2.): ниска, средња, висока и врло висока. У табели приказано је колике површине заузимају издвојене класе. Добијени резултат је очекиван са обзиром на то да највећи утицај има фактор типа вегетације, затим нагиб и експозиција. Да ли ће доћи до појаве пожара у великој мери зависи од свести и понашања људи, односно антропогеног утицаја.</w:t>
      </w:r>
    </w:p>
    <w:p w14:paraId="0BC6424B" w14:textId="18EBFF7F" w:rsidR="001C59D9" w:rsidRDefault="001C59D9" w:rsidP="001C59D9">
      <w:pPr>
        <w:jc w:val="center"/>
        <w:rPr>
          <w:rFonts w:ascii="Times New Roman" w:eastAsiaTheme="minorEastAsia" w:hAnsi="Times New Roman" w:cs="Times New Roman"/>
          <w:sz w:val="24"/>
          <w:szCs w:val="24"/>
          <w:lang w:val="sr-Cyrl-R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3AB241D7" wp14:editId="3760D584">
            <wp:extent cx="5128260" cy="3627120"/>
            <wp:effectExtent l="19050" t="19050" r="1524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36271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FE9E720" w14:textId="77777777" w:rsidR="001C59D9" w:rsidRDefault="001C59D9" w:rsidP="001C59D9">
      <w:pPr>
        <w:spacing w:line="360" w:lineRule="auto"/>
        <w:jc w:val="center"/>
        <w:rPr>
          <w:rFonts w:ascii="Times New Roman" w:hAnsi="Times New Roman" w:cs="Times New Roman"/>
          <w:i/>
          <w:iCs/>
          <w:lang w:val="sr-Cyrl-RS"/>
        </w:rPr>
      </w:pPr>
      <w:r>
        <w:rPr>
          <w:rFonts w:ascii="Times New Roman" w:hAnsi="Times New Roman" w:cs="Times New Roman"/>
          <w:i/>
          <w:iCs/>
          <w:lang w:val="sr-Cyrl-RS"/>
        </w:rPr>
        <w:t>Слика 1. Подложност настанку шумских пожара на територији општине Сокобања</w:t>
      </w:r>
    </w:p>
    <w:p w14:paraId="5B549316" w14:textId="084858DE" w:rsidR="001C59D9" w:rsidRDefault="001C59D9" w:rsidP="001C59D9">
      <w:pPr>
        <w:jc w:val="center"/>
        <w:rPr>
          <w:rFonts w:ascii="Times New Roman" w:eastAsiaTheme="minorEastAsia" w:hAnsi="Times New Roman" w:cs="Times New Roman"/>
          <w:sz w:val="24"/>
          <w:szCs w:val="24"/>
          <w:lang w:val="sr-Cyrl-R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sr-Cyrl-RS"/>
        </w:rPr>
        <w:lastRenderedPageBreak/>
        <w:drawing>
          <wp:inline distT="0" distB="0" distL="0" distR="0" wp14:anchorId="63949B9C" wp14:editId="7036FB01">
            <wp:extent cx="5128260" cy="3627120"/>
            <wp:effectExtent l="19050" t="19050" r="1524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36271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69B9260" w14:textId="77777777" w:rsidR="001C59D9" w:rsidRDefault="001C59D9" w:rsidP="001C59D9">
      <w:pPr>
        <w:spacing w:line="360" w:lineRule="auto"/>
        <w:jc w:val="center"/>
        <w:rPr>
          <w:rFonts w:ascii="Times New Roman" w:hAnsi="Times New Roman" w:cs="Times New Roman"/>
          <w:i/>
          <w:iCs/>
          <w:lang w:val="sr-Cyrl-RS"/>
        </w:rPr>
      </w:pPr>
      <w:r>
        <w:rPr>
          <w:rFonts w:ascii="Times New Roman" w:hAnsi="Times New Roman" w:cs="Times New Roman"/>
          <w:i/>
          <w:iCs/>
          <w:lang w:val="sr-Cyrl-RS"/>
        </w:rPr>
        <w:t>Слика 2. Класе подложности настанку шумских пожара на територији општине Сокобања</w:t>
      </w:r>
    </w:p>
    <w:p w14:paraId="294B4F7B" w14:textId="77777777" w:rsidR="001C59D9" w:rsidRDefault="001C59D9" w:rsidP="001C59D9">
      <w:pPr>
        <w:spacing w:after="0" w:line="240" w:lineRule="auto"/>
        <w:jc w:val="both"/>
        <w:rPr>
          <w:rFonts w:ascii="Times New Roman" w:hAnsi="Times New Roman" w:cs="Times New Roman"/>
          <w:i/>
          <w:iCs/>
          <w:lang w:val="sr-Cyrl-RS"/>
        </w:rPr>
      </w:pPr>
      <w:r>
        <w:rPr>
          <w:rFonts w:ascii="Times New Roman" w:hAnsi="Times New Roman" w:cs="Times New Roman"/>
          <w:i/>
          <w:iCs/>
          <w:lang w:val="sr-Cyrl-RS"/>
        </w:rPr>
        <w:t>Табела 2. Класе подложности настанку шумских пожара на територији општине Сокобања</w:t>
      </w:r>
    </w:p>
    <w:tbl>
      <w:tblPr>
        <w:tblStyle w:val="GridTable4-Accent2"/>
        <w:tblW w:w="8219" w:type="dxa"/>
        <w:jc w:val="center"/>
        <w:tblInd w:w="0" w:type="dxa"/>
        <w:tblLook w:val="04A0" w:firstRow="1" w:lastRow="0" w:firstColumn="1" w:lastColumn="0" w:noHBand="0" w:noVBand="1"/>
      </w:tblPr>
      <w:tblGrid>
        <w:gridCol w:w="2823"/>
        <w:gridCol w:w="1994"/>
        <w:gridCol w:w="3402"/>
      </w:tblGrid>
      <w:tr w:rsidR="001C59D9" w14:paraId="021F1947" w14:textId="77777777" w:rsidTr="001C59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3" w:type="dxa"/>
            <w:noWrap/>
            <w:vAlign w:val="center"/>
            <w:hideMark/>
          </w:tcPr>
          <w:p w14:paraId="4934FD05" w14:textId="77777777" w:rsidR="001C59D9" w:rsidRDefault="001C59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Класа</w:t>
            </w:r>
            <w:proofErr w:type="spellEnd"/>
          </w:p>
        </w:tc>
        <w:tc>
          <w:tcPr>
            <w:tcW w:w="1994" w:type="dxa"/>
            <w:noWrap/>
            <w:vAlign w:val="center"/>
            <w:hideMark/>
          </w:tcPr>
          <w:p w14:paraId="10DB92C5" w14:textId="77777777" w:rsidR="001C59D9" w:rsidRDefault="001C59D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Површина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>[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km</w:t>
            </w:r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2</w:t>
            </w:r>
            <w:r>
              <w:rPr>
                <w:rFonts w:ascii="Calibri" w:eastAsia="Times New Roman" w:hAnsi="Calibri" w:cs="Calibri"/>
                <w:color w:val="000000"/>
              </w:rPr>
              <w:t>]</w:t>
            </w:r>
          </w:p>
        </w:tc>
        <w:tc>
          <w:tcPr>
            <w:tcW w:w="3402" w:type="dxa"/>
            <w:noWrap/>
            <w:vAlign w:val="center"/>
            <w:hideMark/>
          </w:tcPr>
          <w:p w14:paraId="529A3CE6" w14:textId="77777777" w:rsidR="001C59D9" w:rsidRDefault="001C59D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Удео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у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укупној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површини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>[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%</w:t>
            </w:r>
            <w:r>
              <w:rPr>
                <w:rFonts w:ascii="Calibri" w:eastAsia="Times New Roman" w:hAnsi="Calibri" w:cs="Calibri"/>
                <w:color w:val="000000"/>
              </w:rPr>
              <w:t>]</w:t>
            </w:r>
          </w:p>
        </w:tc>
      </w:tr>
      <w:tr w:rsidR="001C59D9" w14:paraId="4E960407" w14:textId="77777777" w:rsidTr="001C5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noWrap/>
            <w:vAlign w:val="center"/>
            <w:hideMark/>
          </w:tcPr>
          <w:p w14:paraId="7E196479" w14:textId="77777777" w:rsidR="001C59D9" w:rsidRDefault="001C59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Ниска подложност</w:t>
            </w:r>
          </w:p>
        </w:tc>
        <w:tc>
          <w:tcPr>
            <w:tcW w:w="1994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noWrap/>
            <w:vAlign w:val="center"/>
            <w:hideMark/>
          </w:tcPr>
          <w:p w14:paraId="2F307231" w14:textId="77777777" w:rsidR="001C59D9" w:rsidRDefault="001C59D9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92</w:t>
            </w:r>
          </w:p>
        </w:tc>
        <w:tc>
          <w:tcPr>
            <w:tcW w:w="3402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noWrap/>
            <w:vAlign w:val="center"/>
            <w:hideMark/>
          </w:tcPr>
          <w:p w14:paraId="7099927F" w14:textId="77777777" w:rsidR="001C59D9" w:rsidRDefault="001C59D9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36</w:t>
            </w:r>
          </w:p>
        </w:tc>
      </w:tr>
      <w:tr w:rsidR="001C59D9" w14:paraId="569F5910" w14:textId="77777777" w:rsidTr="001C59D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noWrap/>
            <w:vAlign w:val="center"/>
            <w:hideMark/>
          </w:tcPr>
          <w:p w14:paraId="6C255DFA" w14:textId="77777777" w:rsidR="001C59D9" w:rsidRDefault="001C59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Средња подложност</w:t>
            </w:r>
          </w:p>
        </w:tc>
        <w:tc>
          <w:tcPr>
            <w:tcW w:w="1994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noWrap/>
            <w:vAlign w:val="center"/>
            <w:hideMark/>
          </w:tcPr>
          <w:p w14:paraId="70932D10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221</w:t>
            </w: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91</w:t>
            </w:r>
          </w:p>
        </w:tc>
        <w:tc>
          <w:tcPr>
            <w:tcW w:w="3402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noWrap/>
            <w:vAlign w:val="center"/>
            <w:hideMark/>
          </w:tcPr>
          <w:p w14:paraId="5934B8B8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41,95</w:t>
            </w:r>
          </w:p>
        </w:tc>
      </w:tr>
      <w:tr w:rsidR="001C59D9" w14:paraId="4D429EEF" w14:textId="77777777" w:rsidTr="001C5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noWrap/>
            <w:vAlign w:val="center"/>
            <w:hideMark/>
          </w:tcPr>
          <w:p w14:paraId="3A289C12" w14:textId="77777777" w:rsidR="001C59D9" w:rsidRDefault="001C59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Висока подложност</w:t>
            </w:r>
          </w:p>
        </w:tc>
        <w:tc>
          <w:tcPr>
            <w:tcW w:w="1994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noWrap/>
            <w:vAlign w:val="center"/>
            <w:hideMark/>
          </w:tcPr>
          <w:p w14:paraId="42F82F89" w14:textId="77777777" w:rsidR="001C59D9" w:rsidRDefault="001C59D9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300,45</w:t>
            </w:r>
          </w:p>
        </w:tc>
        <w:tc>
          <w:tcPr>
            <w:tcW w:w="3402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noWrap/>
            <w:vAlign w:val="center"/>
            <w:hideMark/>
          </w:tcPr>
          <w:p w14:paraId="4644822C" w14:textId="77777777" w:rsidR="001C59D9" w:rsidRDefault="001C59D9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56</w:t>
            </w: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,80</w:t>
            </w:r>
          </w:p>
        </w:tc>
      </w:tr>
      <w:tr w:rsidR="001C59D9" w14:paraId="3EB3C77E" w14:textId="77777777" w:rsidTr="001C59D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noWrap/>
            <w:vAlign w:val="center"/>
            <w:hideMark/>
          </w:tcPr>
          <w:p w14:paraId="0FD82592" w14:textId="77777777" w:rsidR="001C59D9" w:rsidRDefault="001C59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Врло висока подложност</w:t>
            </w:r>
          </w:p>
        </w:tc>
        <w:tc>
          <w:tcPr>
            <w:tcW w:w="1994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noWrap/>
            <w:vAlign w:val="center"/>
            <w:hideMark/>
          </w:tcPr>
          <w:p w14:paraId="72261758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72</w:t>
            </w:r>
          </w:p>
        </w:tc>
        <w:tc>
          <w:tcPr>
            <w:tcW w:w="3402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noWrap/>
            <w:vAlign w:val="center"/>
            <w:hideMark/>
          </w:tcPr>
          <w:p w14:paraId="3A5A8BD9" w14:textId="77777777" w:rsidR="001C59D9" w:rsidRDefault="001C59D9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89</w:t>
            </w:r>
          </w:p>
        </w:tc>
      </w:tr>
      <w:tr w:rsidR="001C59D9" w14:paraId="30E376E6" w14:textId="77777777" w:rsidTr="001C5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noWrap/>
            <w:vAlign w:val="center"/>
            <w:hideMark/>
          </w:tcPr>
          <w:p w14:paraId="11F90771" w14:textId="77777777" w:rsidR="001C59D9" w:rsidRDefault="001C59D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Укупно</w:t>
            </w:r>
            <w:proofErr w:type="spellEnd"/>
          </w:p>
        </w:tc>
        <w:tc>
          <w:tcPr>
            <w:tcW w:w="1994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noWrap/>
            <w:vAlign w:val="center"/>
            <w:hideMark/>
          </w:tcPr>
          <w:p w14:paraId="199F2549" w14:textId="77777777" w:rsidR="001C59D9" w:rsidRDefault="001C59D9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sr-Cyrl-RS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52</w:t>
            </w:r>
            <w:r>
              <w:rPr>
                <w:rFonts w:ascii="Times New Roman" w:eastAsia="Times New Roman" w:hAnsi="Times New Roman" w:cs="Times New Roman"/>
                <w:color w:val="000000"/>
                <w:lang w:val="sr-Cyrl-RS"/>
              </w:rPr>
              <w:t>9</w:t>
            </w:r>
          </w:p>
        </w:tc>
        <w:tc>
          <w:tcPr>
            <w:tcW w:w="3402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noWrap/>
            <w:vAlign w:val="center"/>
            <w:hideMark/>
          </w:tcPr>
          <w:p w14:paraId="096633F2" w14:textId="77777777" w:rsidR="001C59D9" w:rsidRDefault="001C59D9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</w:tr>
    </w:tbl>
    <w:p w14:paraId="215520EF" w14:textId="77777777" w:rsidR="001C59D9" w:rsidRDefault="001C59D9" w:rsidP="001C59D9">
      <w:pPr>
        <w:jc w:val="both"/>
        <w:rPr>
          <w:rFonts w:ascii="Times New Roman" w:hAnsi="Times New Roman" w:cs="Times New Roman"/>
          <w:noProof/>
          <w:sz w:val="24"/>
          <w:szCs w:val="24"/>
          <w:lang w:val="en-GB" w:eastAsia="en-GB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На основу слике 2. и табеле 2. највећу површину заузима класа високе подложности (300,45 </w:t>
      </w:r>
      <w:r>
        <w:rPr>
          <w:rFonts w:ascii="Times New Roman" w:hAnsi="Times New Roman" w:cs="Times New Roman"/>
          <w:sz w:val="24"/>
          <w:szCs w:val="24"/>
        </w:rPr>
        <w:t>km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). Овакав резултат је очекиван са обзиром на то да тип вегетације представља главни фактор за настајање шумским пожара, а ове површине су највећим делом покривене листопадним и четинарским шумама. Средња класа подложности је друга по заступљености (221, 91 </w:t>
      </w:r>
      <w:r>
        <w:rPr>
          <w:rFonts w:ascii="Times New Roman" w:hAnsi="Times New Roman" w:cs="Times New Roman"/>
          <w:sz w:val="24"/>
          <w:szCs w:val="24"/>
        </w:rPr>
        <w:t>km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), а налази се на пољопривредним и изграђеним површинама. Следећа по заступљености је врло висока класа подложности (4,72 </w:t>
      </w:r>
      <w:r>
        <w:rPr>
          <w:rFonts w:ascii="Times New Roman" w:hAnsi="Times New Roman" w:cs="Times New Roman"/>
          <w:sz w:val="24"/>
          <w:szCs w:val="24"/>
        </w:rPr>
        <w:t>km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) која обухвата површине под листопадним и четинарским шумама и пољопривредне површине, али је овде због величине нагиба и експозиције терен подложнији за настанак шумских пожара. Као најмање заступљена класа издваја се ниска класа подложности (1,92 </w:t>
      </w:r>
      <w:r>
        <w:rPr>
          <w:rFonts w:ascii="Times New Roman" w:hAnsi="Times New Roman" w:cs="Times New Roman"/>
          <w:sz w:val="24"/>
          <w:szCs w:val="24"/>
        </w:rPr>
        <w:t>km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  <w:lang w:val="sr-Cyrl-RS"/>
        </w:rPr>
        <w:t>), а обухвата површине под водом и делове изграђених површина које имају најмању тежинску вредност према табели 14., али су и нагиби терена мањи што доприноси ниској вредности.</w:t>
      </w: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t xml:space="preserve"> </w:t>
      </w:r>
    </w:p>
    <w:p w14:paraId="59DD4052" w14:textId="77777777" w:rsidR="001C59D9" w:rsidRDefault="001C59D9" w:rsidP="001C59D9">
      <w:pPr>
        <w:jc w:val="both"/>
        <w:rPr>
          <w:rFonts w:ascii="Times New Roman" w:eastAsiaTheme="minorEastAsia" w:hAnsi="Times New Roman" w:cs="Times New Roman"/>
          <w:sz w:val="24"/>
          <w:szCs w:val="24"/>
          <w:lang w:val="sr-Cyrl-RS"/>
        </w:rPr>
      </w:pPr>
    </w:p>
    <w:p w14:paraId="17F97F48" w14:textId="77777777" w:rsidR="001C59D9" w:rsidRDefault="001C59D9" w:rsidP="001C59D9">
      <w:pPr>
        <w:rPr>
          <w:rFonts w:ascii="Times New Roman" w:eastAsiaTheme="minorEastAsia" w:hAnsi="Times New Roman" w:cs="Times New Roman"/>
          <w:sz w:val="24"/>
          <w:szCs w:val="24"/>
          <w:lang w:val="sr-Cyrl-RS"/>
        </w:rPr>
      </w:pPr>
      <w:r>
        <w:rPr>
          <w:rFonts w:ascii="Times New Roman" w:eastAsiaTheme="minorEastAsia" w:hAnsi="Times New Roman" w:cs="Times New Roman"/>
          <w:sz w:val="24"/>
          <w:szCs w:val="24"/>
          <w:lang w:val="sr-Cyrl-RS"/>
        </w:rPr>
        <w:br w:type="page"/>
      </w:r>
    </w:p>
    <w:p w14:paraId="59949970" w14:textId="77777777" w:rsidR="001C59D9" w:rsidRDefault="001C59D9" w:rsidP="001C59D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r-Cyrl-RS"/>
        </w:rPr>
        <w:lastRenderedPageBreak/>
        <w:t>Мониторинг здраве и болесне вегетације</w:t>
      </w:r>
    </w:p>
    <w:p w14:paraId="34CF44F1" w14:textId="77777777" w:rsidR="001C59D9" w:rsidRDefault="001C59D9" w:rsidP="001C59D9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Оптимални количник вегетационог индекса (NDVI – Normalised Difference Vegetation Index) користи се за приказивање вегетације комбинацијом сателитских снимака различитих спектралних канала</w:t>
      </w:r>
      <w:r>
        <w:rPr>
          <w:rStyle w:val="FootnoteReference"/>
          <w:rFonts w:ascii="Times New Roman" w:hAnsi="Times New Roman" w:cs="Times New Roman"/>
          <w:sz w:val="24"/>
          <w:szCs w:val="24"/>
          <w:lang w:val="sr-Latn-RS"/>
        </w:rPr>
        <w:footnoteReference w:id="1"/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. Формула по којој се рачуна NDVI гласи (https://eos.com/make-an-analysis/ndvi/): </w:t>
      </w:r>
    </w:p>
    <w:p w14:paraId="0E949092" w14:textId="77777777" w:rsidR="001C59D9" w:rsidRDefault="001C59D9" w:rsidP="001C59D9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NDVI = (NIR-RED)/(NIR+RED);</w:t>
      </w:r>
    </w:p>
    <w:p w14:paraId="747ADB4C" w14:textId="77777777" w:rsidR="001C59D9" w:rsidRDefault="001C59D9" w:rsidP="001C59D9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NIR – рефлексија у блиском инфрацрвеном спектру,</w:t>
      </w:r>
    </w:p>
    <w:p w14:paraId="283BDD89" w14:textId="77777777" w:rsidR="001C59D9" w:rsidRDefault="001C59D9" w:rsidP="001C59D9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RED – рефлексија у црвеном опсегу спектра.</w:t>
      </w:r>
    </w:p>
    <w:p w14:paraId="1BAE8C0A" w14:textId="77777777" w:rsidR="001C59D9" w:rsidRDefault="001C59D9" w:rsidP="001C59D9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Према овој формули, густина вегетације (NDVI) у одређеној тачки слике једнака је разлици у интензитетима рефлектоване светлости у црвеном и инфрацрвеном делу спектра подељеној са збиром ових интензитета. Овај индекс дефинише вредности од -1,0 до 1,0, представљајући зеленило, где се негативне вредности углавном формирају од облака, воде и снега, а вредности близу нуле углавном се формирају од стена и огољеног тла. Веома мале вредности (0,1 или мање) одговарају празним површинама стена, песка или снега. Умерене вредности (од 0,2 до 0,3) представљају жбуње и ливаде, док велике вредности (од 0,6 до 0,8) указују на умерене и тропске шуме. NDVI (слика 4.) је мера стања здравља биљног покривача заснована на томе како биљка рефлектује светлост на одређеним фреквенцијама (неки таласи се апсорбују, а други рефлектују) (https://eos.com/make-an-analysis/ndvi/).</w:t>
      </w:r>
    </w:p>
    <w:p w14:paraId="123F291D" w14:textId="3B2D08BE" w:rsidR="001C59D9" w:rsidRDefault="001C59D9" w:rsidP="001C59D9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noProof/>
          <w:sz w:val="24"/>
          <w:szCs w:val="24"/>
          <w:lang w:val="sr-Latn-RS"/>
        </w:rPr>
        <w:drawing>
          <wp:inline distT="0" distB="0" distL="0" distR="0" wp14:anchorId="5722ACF3" wp14:editId="50B497B6">
            <wp:extent cx="5128260" cy="3627120"/>
            <wp:effectExtent l="19050" t="19050" r="1524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36271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C18E9F8" w14:textId="77777777" w:rsidR="001C59D9" w:rsidRDefault="001C59D9" w:rsidP="001C59D9">
      <w:pPr>
        <w:jc w:val="center"/>
        <w:rPr>
          <w:rFonts w:ascii="Times New Roman" w:hAnsi="Times New Roman" w:cs="Times New Roman"/>
          <w:i/>
          <w:iCs/>
          <w:lang w:val="sr-Cyrl-RS"/>
        </w:rPr>
      </w:pPr>
      <w:r>
        <w:rPr>
          <w:rFonts w:ascii="Times New Roman" w:hAnsi="Times New Roman" w:cs="Times New Roman"/>
          <w:i/>
          <w:iCs/>
          <w:lang w:val="sr-Cyrl-RS"/>
        </w:rPr>
        <w:t xml:space="preserve">Слика 3. </w:t>
      </w:r>
      <w:r>
        <w:rPr>
          <w:rFonts w:ascii="Times New Roman" w:hAnsi="Times New Roman" w:cs="Times New Roman"/>
          <w:i/>
          <w:iCs/>
          <w:lang w:val="sr-Cyrl-BA"/>
        </w:rPr>
        <w:t xml:space="preserve">Приказ вредности </w:t>
      </w:r>
      <w:r>
        <w:rPr>
          <w:rFonts w:ascii="Times New Roman" w:hAnsi="Times New Roman" w:cs="Times New Roman"/>
          <w:i/>
          <w:iCs/>
          <w:lang w:val="en-GB"/>
        </w:rPr>
        <w:t>NDVI</w:t>
      </w:r>
      <w:r>
        <w:rPr>
          <w:rFonts w:ascii="Times New Roman" w:hAnsi="Times New Roman" w:cs="Times New Roman"/>
          <w:i/>
          <w:iCs/>
          <w:lang w:val="sr-Cyrl-RS"/>
        </w:rPr>
        <w:t xml:space="preserve"> индекса</w:t>
      </w:r>
    </w:p>
    <w:p w14:paraId="31BB1D82" w14:textId="77777777" w:rsidR="001C59D9" w:rsidRDefault="001C59D9" w:rsidP="001C59D9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>Оптимални количиник влаге у листовима биљкама(</w:t>
      </w:r>
      <w:r>
        <w:rPr>
          <w:rFonts w:ascii="Times New Roman" w:hAnsi="Times New Roman" w:cs="Times New Roman"/>
          <w:sz w:val="24"/>
          <w:szCs w:val="24"/>
          <w:lang w:val="sr-Latn-RS"/>
        </w:rPr>
        <w:t>NDMI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sr-Latn-RS"/>
        </w:rPr>
        <w:t>Normalized Difference Moisture Index</w:t>
      </w:r>
      <w:r>
        <w:rPr>
          <w:rFonts w:ascii="Times New Roman" w:hAnsi="Times New Roman" w:cs="Times New Roman"/>
          <w:sz w:val="24"/>
          <w:szCs w:val="24"/>
          <w:lang w:val="sr-Cyrl-RS"/>
        </w:rPr>
        <w:t>) рачуна се према формули (https://www.usgs.gov/landsat-missions/landsat-surface-reflectance-derived-spectral-indices):</w:t>
      </w:r>
    </w:p>
    <w:p w14:paraId="7267D599" w14:textId="77777777" w:rsidR="001C59D9" w:rsidRDefault="001C59D9" w:rsidP="001C59D9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NDMI = (NIR-SWIR)/(NIR+SWIR);</w:t>
      </w:r>
    </w:p>
    <w:p w14:paraId="147A4978" w14:textId="77777777" w:rsidR="001C59D9" w:rsidRDefault="001C59D9" w:rsidP="001C59D9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NIR – рефлексија у блиском инфрацрвеном спектру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, </w:t>
      </w:r>
    </w:p>
    <w:p w14:paraId="32612FE0" w14:textId="77777777" w:rsidR="001C59D9" w:rsidRDefault="001C59D9" w:rsidP="001C59D9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SWIR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– рефлексија у краткоталасном инфрацрвеном делу спектра.</w:t>
      </w:r>
    </w:p>
    <w:p w14:paraId="55766F74" w14:textId="77777777" w:rsidR="001C59D9" w:rsidRDefault="001C59D9" w:rsidP="001C59D9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Вредности </w:t>
      </w:r>
      <w:r>
        <w:rPr>
          <w:rFonts w:ascii="Times New Roman" w:hAnsi="Times New Roman" w:cs="Times New Roman"/>
          <w:sz w:val="24"/>
          <w:szCs w:val="24"/>
          <w:lang w:val="en-GB"/>
        </w:rPr>
        <w:t>NDMI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(слика 5.)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индекса крећу се од -1 до 1, у конкретном примеру од -0.6 до 0.6. Што је добијена вредност већа, то има више воде у листовима биљака. Мале вредности од -1 до 0 најчешће указују на мањак воде или огољене површине, док вредности веће од 0 указују на умерене и велике количине воде, односно одсуство осушене вегетације.</w:t>
      </w:r>
    </w:p>
    <w:p w14:paraId="3B9E8F21" w14:textId="104B4EEF" w:rsidR="001C59D9" w:rsidRDefault="001C59D9" w:rsidP="001C59D9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6851DB17" wp14:editId="351F63FA">
            <wp:extent cx="5128260" cy="3627120"/>
            <wp:effectExtent l="19050" t="19050" r="1524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36271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E5C499" w14:textId="77777777" w:rsidR="001C59D9" w:rsidRDefault="001C59D9" w:rsidP="001C59D9">
      <w:pPr>
        <w:jc w:val="center"/>
        <w:rPr>
          <w:rFonts w:ascii="Times New Roman" w:hAnsi="Times New Roman" w:cs="Times New Roman"/>
          <w:i/>
          <w:iCs/>
          <w:lang w:val="sr-Cyrl-RS"/>
        </w:rPr>
      </w:pPr>
      <w:r>
        <w:rPr>
          <w:rFonts w:ascii="Times New Roman" w:hAnsi="Times New Roman" w:cs="Times New Roman"/>
          <w:i/>
          <w:iCs/>
          <w:lang w:val="sr-Cyrl-RS"/>
        </w:rPr>
        <w:t xml:space="preserve">Слика 4. Приказ вредности </w:t>
      </w:r>
      <w:r>
        <w:rPr>
          <w:rFonts w:ascii="Times New Roman" w:hAnsi="Times New Roman" w:cs="Times New Roman"/>
          <w:i/>
          <w:iCs/>
          <w:lang w:val="en-GB"/>
        </w:rPr>
        <w:t>NDMI</w:t>
      </w:r>
      <w:r>
        <w:rPr>
          <w:rFonts w:ascii="Times New Roman" w:hAnsi="Times New Roman" w:cs="Times New Roman"/>
          <w:i/>
          <w:iCs/>
          <w:lang w:val="sr-Cyrl-RS"/>
        </w:rPr>
        <w:t xml:space="preserve"> индекса</w:t>
      </w:r>
    </w:p>
    <w:p w14:paraId="25B3F2BB" w14:textId="77777777" w:rsidR="001C59D9" w:rsidRDefault="001C59D9" w:rsidP="001C59D9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0373BEE9" w14:textId="77777777" w:rsidR="001C59D9" w:rsidRDefault="001C59D9" w:rsidP="001C59D9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Референце</w:t>
      </w:r>
    </w:p>
    <w:p w14:paraId="0A6FB55B" w14:textId="77777777" w:rsidR="001C59D9" w:rsidRDefault="001C59D9" w:rsidP="001C59D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Erten E., Kurgun V., Musaoglu N. (2004). Forest Fire Risk Zone Mapping from Satellite Imagery and GIS – a Case Study. XXth Congress of the International Society for Photogrammetry and Remote Sensing, Istanbul, Turkey: 222-230.</w:t>
      </w:r>
    </w:p>
    <w:p w14:paraId="7A8D2D2F" w14:textId="77777777" w:rsidR="001C59D9" w:rsidRDefault="001C59D9" w:rsidP="001C59D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https://eos.com/make-an-analysis/ndvi/</w:t>
      </w:r>
    </w:p>
    <w:p w14:paraId="150B6F12" w14:textId="77777777" w:rsidR="001C59D9" w:rsidRDefault="001C59D9" w:rsidP="001C59D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https://earthexplorer.usgs.gov/</w:t>
      </w:r>
    </w:p>
    <w:p w14:paraId="72B0B6EA" w14:textId="77777777" w:rsidR="001C59D9" w:rsidRDefault="001C59D9" w:rsidP="001C59D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https://www.usgs.gov/landsat-missions/landsat-surface-reflectance-derived-spectral-indices</w:t>
      </w:r>
    </w:p>
    <w:p w14:paraId="5BBC0578" w14:textId="77777777" w:rsidR="00083CE4" w:rsidRDefault="00083CE4"/>
    <w:sectPr w:rsidR="00083CE4" w:rsidSect="001C59D9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B9505" w14:textId="77777777" w:rsidR="00347F84" w:rsidRDefault="00347F84" w:rsidP="001C59D9">
      <w:pPr>
        <w:spacing w:after="0" w:line="240" w:lineRule="auto"/>
      </w:pPr>
      <w:r>
        <w:separator/>
      </w:r>
    </w:p>
  </w:endnote>
  <w:endnote w:type="continuationSeparator" w:id="0">
    <w:p w14:paraId="7D6D8CC0" w14:textId="77777777" w:rsidR="00347F84" w:rsidRDefault="00347F84" w:rsidP="001C59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B6805" w14:textId="77777777" w:rsidR="00347F84" w:rsidRDefault="00347F84" w:rsidP="001C59D9">
      <w:pPr>
        <w:spacing w:after="0" w:line="240" w:lineRule="auto"/>
      </w:pPr>
      <w:r>
        <w:separator/>
      </w:r>
    </w:p>
  </w:footnote>
  <w:footnote w:type="continuationSeparator" w:id="0">
    <w:p w14:paraId="07BA4505" w14:textId="77777777" w:rsidR="00347F84" w:rsidRDefault="00347F84" w:rsidP="001C59D9">
      <w:pPr>
        <w:spacing w:after="0" w:line="240" w:lineRule="auto"/>
      </w:pPr>
      <w:r>
        <w:continuationSeparator/>
      </w:r>
    </w:p>
  </w:footnote>
  <w:footnote w:id="1">
    <w:p w14:paraId="006623C0" w14:textId="77777777" w:rsidR="001C59D9" w:rsidRDefault="001C59D9" w:rsidP="001C59D9">
      <w:pPr>
        <w:pStyle w:val="FootnoteText"/>
        <w:rPr>
          <w:lang w:val="sr-Latn-R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Times New Roman" w:hAnsi="Times New Roman" w:cs="Times New Roman"/>
          <w:sz w:val="22"/>
          <w:szCs w:val="22"/>
          <w:lang w:val="sr-Cyrl-RS"/>
        </w:rPr>
        <w:t>Сателитски снимци преузети су са</w:t>
      </w:r>
      <w:r>
        <w:rPr>
          <w:rFonts w:ascii="Times New Roman" w:hAnsi="Times New Roman" w:cs="Times New Roman"/>
          <w:sz w:val="22"/>
          <w:szCs w:val="22"/>
        </w:rPr>
        <w:t xml:space="preserve"> LANDSAT 8 </w:t>
      </w:r>
      <w:r>
        <w:rPr>
          <w:rFonts w:ascii="Times New Roman" w:hAnsi="Times New Roman" w:cs="Times New Roman"/>
          <w:sz w:val="22"/>
          <w:szCs w:val="22"/>
          <w:lang w:val="sr-Cyrl-RS"/>
        </w:rPr>
        <w:t>сателита доступних на: https://earthexplorer.usgs.gov/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F10377"/>
    <w:multiLevelType w:val="hybridMultilevel"/>
    <w:tmpl w:val="52A4AD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9D9"/>
    <w:rsid w:val="00083CE4"/>
    <w:rsid w:val="001C59D9"/>
    <w:rsid w:val="00347F84"/>
    <w:rsid w:val="009D1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E3628"/>
  <w15:chartTrackingRefBased/>
  <w15:docId w15:val="{22EEAB46-EE03-45CD-AEB3-7AD79C40E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59D9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1C59D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C59D9"/>
    <w:rPr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1C59D9"/>
    <w:pPr>
      <w:ind w:left="720"/>
      <w:contextualSpacing/>
    </w:pPr>
  </w:style>
  <w:style w:type="character" w:styleId="FootnoteReference">
    <w:name w:val="footnote reference"/>
    <w:basedOn w:val="DefaultParagraphFont"/>
    <w:uiPriority w:val="99"/>
    <w:semiHidden/>
    <w:unhideWhenUsed/>
    <w:rsid w:val="001C59D9"/>
    <w:rPr>
      <w:vertAlign w:val="superscript"/>
    </w:rPr>
  </w:style>
  <w:style w:type="table" w:styleId="GridTable4-Accent2">
    <w:name w:val="Grid Table 4 Accent 2"/>
    <w:basedOn w:val="TableNormal"/>
    <w:uiPriority w:val="49"/>
    <w:rsid w:val="001C59D9"/>
    <w:pPr>
      <w:spacing w:after="0" w:line="240" w:lineRule="auto"/>
    </w:pPr>
    <w:rPr>
      <w:lang w:val="en-US"/>
    </w:rPr>
    <w:tblPr>
      <w:tblStyleRowBandSize w:val="1"/>
      <w:tblStyleColBandSize w:val="1"/>
      <w:tblInd w:w="0" w:type="nil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8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1152</Words>
  <Characters>6569</Characters>
  <Application>Microsoft Office Word</Application>
  <DocSecurity>0</DocSecurity>
  <Lines>54</Lines>
  <Paragraphs>15</Paragraphs>
  <ScaleCrop>false</ScaleCrop>
  <Company/>
  <LinksUpToDate>false</LinksUpToDate>
  <CharactersWithSpaces>7706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Dusica Jovanovic</dc:creator>
  <cp:keywords/>
  <dc:description/>
  <cp:lastModifiedBy>Dusica Jovanovic</cp:lastModifiedBy>
  <cp:revision>3</cp:revision>
  <dcterms:created xsi:type="dcterms:W3CDTF">2022-01-22T23:22:00Z</dcterms:created>
  <dcterms:modified xsi:type="dcterms:W3CDTF">2022-01-22T23:25:00Z</dcterms:modified>
</cp:coreProperties>
</file>