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34"/>
      </w:pPr>
      <w:r>
        <w:rPr>
          <w:b/>
          <w:color w:val="167A86"/>
          <w:sz w:val="21"/>
        </w:rPr>
        <w:t>RESEARCH &amp; ENGINEERING NOTE</w:t>
      </w:r>
    </w:p>
    <w:p>
      <w:pPr>
        <w:spacing w:before="200" w:after="140" w:line="259" w:lineRule="auto"/>
      </w:pPr>
      <w:r>
        <w:rPr>
          <w:b/>
          <w:color w:val="173444"/>
          <w:sz w:val="90"/>
        </w:rPr>
        <w:t>KRONOS</w:t>
      </w:r>
    </w:p>
    <w:p>
      <w:pPr>
        <w:spacing w:after="100" w:line="288" w:lineRule="auto"/>
      </w:pPr>
      <w:r>
        <w:rPr>
          <w:b/>
          <w:color w:val="173444"/>
          <w:sz w:val="52"/>
        </w:rPr>
        <w:t>Crypto 量化改进研究</w:t>
        <w:br/>
        <w:t>与工程路线</w:t>
      </w:r>
    </w:p>
    <w:p>
      <w:pPr>
        <w:spacing w:before="320" w:after="320"/>
      </w:pPr>
      <w:r>
        <w:rPr>
          <w:color w:val="546675"/>
          <w:sz w:val="23"/>
        </w:rPr>
        <w:t>研究价值 · 工程难度 · 实施方法 · 验证规范</w:t>
      </w:r>
    </w:p>
    <w:p>
      <w:pPr>
        <w:pStyle w:val="Callout"/>
        <w:spacing w:after="400"/>
        <w:shd w:fill="EFF5F7"/>
        <w:pBdr>
          <w:left w:val="single" w:sz="20" w:space="10" w:color="167A86"/>
        </w:pBdr>
      </w:pPr>
      <w:r>
        <w:rPr>
          <w:b/>
        </w:rPr>
        <w:t>从增量表征验证出发，而不是从复杂架构出发。</w:t>
      </w:r>
      <w:r>
        <w:br/>
        <w:t>先改决策目标，再改变 token 语义；先证明一个模块有用，再组合多个模块。</w:t>
      </w:r>
    </w:p>
    <w:p>
      <w:pPr>
        <w:spacing w:after="20"/>
      </w:pPr>
      <w:r>
        <w:rPr>
          <w:b/>
          <w:color w:val="173444"/>
          <w:sz w:val="23"/>
        </w:rPr>
        <w:t>01  最小可验证方案</w:t>
      </w:r>
    </w:p>
    <w:p>
      <w:pPr>
        <w:spacing w:after="220"/>
      </w:pPr>
      <w:r>
        <w:rPr>
          <w:color w:val="546675"/>
          <w:sz w:val="20"/>
        </w:rPr>
        <w:t>冻结 Kronos-small，建立普通特征与动量参与度对照。</w:t>
      </w:r>
    </w:p>
    <w:p>
      <w:pPr>
        <w:spacing w:after="20"/>
      </w:pPr>
      <w:r>
        <w:rPr>
          <w:b/>
          <w:color w:val="173444"/>
          <w:sz w:val="23"/>
        </w:rPr>
        <w:t>02  条件式升级路线</w:t>
      </w:r>
    </w:p>
    <w:p>
      <w:pPr>
        <w:spacing w:after="220"/>
      </w:pPr>
      <w:r>
        <w:rPr>
          <w:color w:val="546675"/>
          <w:sz w:val="20"/>
        </w:rPr>
        <w:t>按证据引入状态数据、继续训练、事件时间和符号搜索。</w:t>
      </w:r>
    </w:p>
    <w:p>
      <w:pPr>
        <w:spacing w:after="20"/>
      </w:pPr>
      <w:r>
        <w:rPr>
          <w:b/>
          <w:color w:val="173444"/>
          <w:sz w:val="23"/>
        </w:rPr>
        <w:t>03  可审计实验系统</w:t>
      </w:r>
    </w:p>
    <w:p>
      <w:pPr>
        <w:spacing w:after="220"/>
      </w:pPr>
      <w:r>
        <w:rPr>
          <w:color w:val="546675"/>
          <w:sz w:val="20"/>
        </w:rPr>
        <w:t>固定数据、权重、时序与成本，保留失败试验和停止条件。</w:t>
      </w:r>
    </w:p>
    <w:p>
      <w:pPr>
        <w:spacing w:before="400"/>
      </w:pPr>
      <w:r>
        <w:rPr>
          <w:b/>
          <w:color w:val="167A86"/>
          <w:sz w:val="20"/>
        </w:rPr>
        <w:t>版本 1.0  /  2026 年 10 月 7 日</w:t>
      </w:r>
    </w:p>
    <w:p>
      <w:pPr>
        <w:spacing w:after="40"/>
      </w:pPr>
      <w:r>
        <w:rPr>
          <w:color w:val="546675"/>
          <w:sz w:val="19"/>
        </w:rPr>
        <w:t>适用范围：研究原型、实验设计与开发规划</w:t>
      </w:r>
    </w:p>
    <w:p>
      <w:r>
        <w:rPr>
          <w:color w:val="546675"/>
          <w:sz w:val="19"/>
        </w:rPr>
        <w:t>本文未实际训练模型或验证交易收益。</w:t>
      </w:r>
    </w:p>
    <w:p>
      <w:r>
        <w:br w:type="page"/>
      </w:r>
    </w:p>
    <w:p>
      <w:pPr>
        <w:spacing w:line="288" w:lineRule="auto" w:after="180"/>
      </w:pPr>
      <w:bookmarkStart w:id="1" w:name="Contents"/>
      <w:bookmarkEnd w:id="1"/>
      <w:r>
        <w:rPr>
          <w:b/>
          <w:color w:val="173444"/>
          <w:sz w:val="46"/>
        </w:rPr>
        <w:t>阅读导航</w:t>
      </w:r>
    </w:p>
    <w:p>
      <w:pPr>
        <w:pStyle w:val="Small"/>
      </w:pPr>
      <w:r>
        <w:t>先阅读第 01—04 章确定研究边界；开发时结合第 14—16 章及附录 A。各路线独立成章，可按优先级跳读。</w:t>
      </w:r>
    </w:p>
    <w:p>
      <w:pPr>
        <w:pStyle w:val="TOCEntry"/>
        <w:tabs>
          <w:tab w:pos="9694" w:val="right"/>
        </w:tabs>
      </w:pPr>
      <w:hyperlink w:anchor="sec1">
        <w:r>
          <w:rPr>
            <w:color w:val="173444"/>
            <w:rFonts w:ascii="Carlito" w:hAnsi="Carlito" w:eastAsia="Noto Sans CJK SC"/>
            <w:sz w:val="21"/>
          </w:rPr>
          <w:t>01 研究定位与结论</w:t>
        </w:r>
      </w:hyperlink>
      <w:r>
        <w:tab/>
      </w:r>
      <w:r>
        <w:rPr>
          <w:color w:val="167A86"/>
          <w:sz w:val="20"/>
        </w:rPr>
        <w:t>3</w:t>
      </w:r>
    </w:p>
    <w:p>
      <w:pPr>
        <w:pStyle w:val="TOCEntry"/>
        <w:tabs>
          <w:tab w:pos="9694" w:val="right"/>
        </w:tabs>
      </w:pPr>
      <w:hyperlink w:anchor="sec2">
        <w:r>
          <w:rPr>
            <w:color w:val="173444"/>
            <w:rFonts w:ascii="Carlito" w:hAnsi="Carlito" w:eastAsia="Noto Sans CJK SC"/>
            <w:sz w:val="21"/>
          </w:rPr>
          <w:t>02 Kronos 的事实基线与需要纠正的前提</w:t>
        </w:r>
      </w:hyperlink>
      <w:r>
        <w:tab/>
      </w:r>
      <w:r>
        <w:rPr>
          <w:color w:val="167A86"/>
          <w:sz w:val="20"/>
        </w:rPr>
        <w:t>4</w:t>
      </w:r>
    </w:p>
    <w:p>
      <w:pPr>
        <w:pStyle w:val="TOCEntry"/>
        <w:tabs>
          <w:tab w:pos="9694" w:val="right"/>
        </w:tabs>
      </w:pPr>
      <w:hyperlink w:anchor="sec3">
        <w:r>
          <w:rPr>
            <w:color w:val="173444"/>
            <w:rFonts w:ascii="Carlito" w:hAnsi="Carlito" w:eastAsia="Noto Sans CJK SC"/>
            <w:sz w:val="21"/>
          </w:rPr>
          <w:t>03 难度、成本与优先级总览</w:t>
        </w:r>
      </w:hyperlink>
      <w:r>
        <w:tab/>
      </w:r>
      <w:r>
        <w:rPr>
          <w:color w:val="167A86"/>
          <w:sz w:val="20"/>
        </w:rPr>
        <w:t>5</w:t>
      </w:r>
    </w:p>
    <w:p>
      <w:pPr>
        <w:pStyle w:val="TOCEntry"/>
        <w:tabs>
          <w:tab w:pos="9694" w:val="right"/>
        </w:tabs>
      </w:pPr>
      <w:hyperlink w:anchor="sec4">
        <w:r>
          <w:rPr>
            <w:color w:val="173444"/>
            <w:rFonts w:ascii="Carlito" w:hAnsi="Carlito" w:eastAsia="Noto Sans CJK SC"/>
            <w:sz w:val="21"/>
          </w:rPr>
          <w:t>04 统一研究问题与最小实验系统</w:t>
        </w:r>
      </w:hyperlink>
      <w:r>
        <w:tab/>
      </w:r>
      <w:r>
        <w:rPr>
          <w:color w:val="167A86"/>
          <w:sz w:val="20"/>
        </w:rPr>
        <w:t>6</w:t>
      </w:r>
    </w:p>
    <w:p>
      <w:pPr>
        <w:pStyle w:val="TOCEntry"/>
        <w:tabs>
          <w:tab w:pos="9694" w:val="right"/>
        </w:tabs>
      </w:pPr>
      <w:hyperlink w:anchor="sec5">
        <w:r>
          <w:rPr>
            <w:color w:val="173444"/>
            <w:rFonts w:ascii="Carlito" w:hAnsi="Carlito" w:eastAsia="Noto Sans CJK SC"/>
            <w:sz w:val="21"/>
          </w:rPr>
          <w:t>05 冻结表征与量化瓶颈诊断</w:t>
        </w:r>
      </w:hyperlink>
      <w:r>
        <w:tab/>
      </w:r>
      <w:r>
        <w:rPr>
          <w:color w:val="167A86"/>
          <w:sz w:val="20"/>
        </w:rPr>
        <w:t>7</w:t>
      </w:r>
    </w:p>
    <w:p>
      <w:pPr>
        <w:pStyle w:val="TOCEntry"/>
        <w:tabs>
          <w:tab w:pos="9694" w:val="right"/>
        </w:tabs>
      </w:pPr>
      <w:hyperlink w:anchor="sec6">
        <w:r>
          <w:rPr>
            <w:color w:val="173444"/>
            <w:rFonts w:ascii="Carlito" w:hAnsi="Carlito" w:eastAsia="Noto Sans CJK SC"/>
            <w:sz w:val="21"/>
          </w:rPr>
          <w:t>06 动量、净收益与策略参与度改造</w:t>
        </w:r>
      </w:hyperlink>
      <w:r>
        <w:tab/>
      </w:r>
      <w:r>
        <w:rPr>
          <w:color w:val="167A86"/>
          <w:sz w:val="20"/>
        </w:rPr>
        <w:t>9</w:t>
      </w:r>
    </w:p>
    <w:p>
      <w:pPr>
        <w:pStyle w:val="TOCEntry"/>
        <w:tabs>
          <w:tab w:pos="9694" w:val="right"/>
        </w:tabs>
      </w:pPr>
      <w:hyperlink w:anchor="sec7">
        <w:r>
          <w:rPr>
            <w:color w:val="173444"/>
            <w:rFonts w:ascii="Carlito" w:hAnsi="Carlito" w:eastAsia="Noto Sans CJK SC"/>
            <w:sz w:val="21"/>
          </w:rPr>
          <w:t>07 波动、下行风险与预测分布</w:t>
        </w:r>
      </w:hyperlink>
      <w:r>
        <w:tab/>
      </w:r>
      <w:r>
        <w:rPr>
          <w:color w:val="167A86"/>
          <w:sz w:val="20"/>
        </w:rPr>
        <w:t>11</w:t>
      </w:r>
    </w:p>
    <w:p>
      <w:pPr>
        <w:pStyle w:val="TOCEntry"/>
        <w:tabs>
          <w:tab w:pos="9694" w:val="right"/>
        </w:tabs>
      </w:pPr>
      <w:hyperlink w:anchor="sec8">
        <w:r>
          <w:rPr>
            <w:color w:val="173444"/>
            <w:rFonts w:ascii="Carlito" w:hAnsi="Carlito" w:eastAsia="Noto Sans CJK SC"/>
            <w:sz w:val="21"/>
          </w:rPr>
          <w:t>08 Crypto 原生状态：先做后融合</w:t>
        </w:r>
      </w:hyperlink>
      <w:r>
        <w:tab/>
      </w:r>
      <w:r>
        <w:rPr>
          <w:color w:val="167A86"/>
          <w:sz w:val="20"/>
        </w:rPr>
        <w:t>12</w:t>
      </w:r>
    </w:p>
    <w:p>
      <w:pPr>
        <w:pStyle w:val="TOCEntry"/>
        <w:tabs>
          <w:tab w:pos="9694" w:val="right"/>
        </w:tabs>
      </w:pPr>
      <w:hyperlink w:anchor="sec9">
        <w:r>
          <w:rPr>
            <w:color w:val="173444"/>
            <w:rFonts w:ascii="Carlito" w:hAnsi="Carlito" w:eastAsia="Noto Sans CJK SC"/>
            <w:sz w:val="21"/>
          </w:rPr>
          <w:t>09 Crypto 继续训练与成交密度加权</w:t>
        </w:r>
      </w:hyperlink>
      <w:r>
        <w:tab/>
      </w:r>
      <w:r>
        <w:rPr>
          <w:color w:val="167A86"/>
          <w:sz w:val="20"/>
        </w:rPr>
        <w:t>13</w:t>
      </w:r>
    </w:p>
    <w:p>
      <w:pPr>
        <w:pStyle w:val="TOCEntry"/>
        <w:tabs>
          <w:tab w:pos="9694" w:val="right"/>
        </w:tabs>
      </w:pPr>
      <w:hyperlink w:anchor="sec10">
        <w:r>
          <w:rPr>
            <w:color w:val="173444"/>
            <w:rFonts w:ascii="Carlito" w:hAnsi="Carlito" w:eastAsia="Noto Sans CJK SC"/>
            <w:sz w:val="21"/>
          </w:rPr>
          <w:t>10 横截面排序与组合层</w:t>
        </w:r>
      </w:hyperlink>
      <w:r>
        <w:tab/>
      </w:r>
      <w:r>
        <w:rPr>
          <w:color w:val="167A86"/>
          <w:sz w:val="20"/>
        </w:rPr>
        <w:t>15</w:t>
      </w:r>
    </w:p>
    <w:p>
      <w:pPr>
        <w:pStyle w:val="TOCEntry"/>
        <w:tabs>
          <w:tab w:pos="9694" w:val="right"/>
        </w:tabs>
      </w:pPr>
      <w:hyperlink w:anchor="sec11">
        <w:r>
          <w:rPr>
            <w:color w:val="173444"/>
            <w:rFonts w:ascii="Carlito" w:hAnsi="Carlito" w:eastAsia="Noto Sans CJK SC"/>
            <w:sz w:val="21"/>
          </w:rPr>
          <w:t>11 事件时间与双时钟：为什么应当后置</w:t>
        </w:r>
      </w:hyperlink>
      <w:r>
        <w:tab/>
      </w:r>
      <w:r>
        <w:rPr>
          <w:color w:val="167A86"/>
          <w:sz w:val="20"/>
        </w:rPr>
        <w:t>16</w:t>
      </w:r>
    </w:p>
    <w:p>
      <w:pPr>
        <w:pStyle w:val="TOCEntry"/>
        <w:tabs>
          <w:tab w:pos="9694" w:val="right"/>
        </w:tabs>
      </w:pPr>
      <w:hyperlink w:anchor="sec12">
        <w:r>
          <w:rPr>
            <w:color w:val="173444"/>
            <w:rFonts w:ascii="Carlito" w:hAnsi="Carlito" w:eastAsia="Noto Sans CJK SC"/>
            <w:sz w:val="21"/>
          </w:rPr>
          <w:t>12 输入重编码、tokenizer 重建与从头训练</w:t>
        </w:r>
      </w:hyperlink>
      <w:r>
        <w:tab/>
      </w:r>
      <w:r>
        <w:rPr>
          <w:color w:val="167A86"/>
          <w:sz w:val="20"/>
        </w:rPr>
        <w:t>17</w:t>
      </w:r>
    </w:p>
    <w:p>
      <w:pPr>
        <w:pStyle w:val="TOCEntry"/>
        <w:tabs>
          <w:tab w:pos="9694" w:val="right"/>
        </w:tabs>
      </w:pPr>
      <w:hyperlink w:anchor="sec13">
        <w:r>
          <w:rPr>
            <w:color w:val="173444"/>
            <w:rFonts w:ascii="Carlito" w:hAnsi="Carlito" w:eastAsia="Noto Sans CJK SC"/>
            <w:sz w:val="21"/>
          </w:rPr>
          <w:t>13 神经—符号：受限策略接口，而非无限因子工厂</w:t>
        </w:r>
      </w:hyperlink>
      <w:r>
        <w:tab/>
      </w:r>
      <w:r>
        <w:rPr>
          <w:color w:val="167A86"/>
          <w:sz w:val="20"/>
        </w:rPr>
        <w:t>18</w:t>
      </w:r>
    </w:p>
    <w:p>
      <w:pPr>
        <w:pStyle w:val="TOCEntry"/>
        <w:tabs>
          <w:tab w:pos="9694" w:val="right"/>
        </w:tabs>
      </w:pPr>
      <w:hyperlink w:anchor="sec14">
        <w:r>
          <w:rPr>
            <w:color w:val="173444"/>
            <w:rFonts w:ascii="Carlito" w:hAnsi="Carlito" w:eastAsia="Noto Sans CJK SC"/>
            <w:sz w:val="21"/>
          </w:rPr>
          <w:t>14 数据、时间切分与验证规范</w:t>
        </w:r>
      </w:hyperlink>
      <w:r>
        <w:tab/>
      </w:r>
      <w:r>
        <w:rPr>
          <w:color w:val="167A86"/>
          <w:sz w:val="20"/>
        </w:rPr>
        <w:t>19</w:t>
      </w:r>
    </w:p>
    <w:p>
      <w:pPr>
        <w:pStyle w:val="TOCEntry"/>
        <w:tabs>
          <w:tab w:pos="9694" w:val="right"/>
        </w:tabs>
      </w:pPr>
      <w:hyperlink w:anchor="sec15">
        <w:r>
          <w:rPr>
            <w:color w:val="173444"/>
            <w:rFonts w:ascii="Carlito" w:hAnsi="Carlito" w:eastAsia="Noto Sans CJK SC"/>
            <w:sz w:val="21"/>
          </w:rPr>
          <w:t>15 工程分层、资源预算与 Freqtrade 接入</w:t>
        </w:r>
      </w:hyperlink>
      <w:r>
        <w:tab/>
      </w:r>
      <w:r>
        <w:rPr>
          <w:color w:val="167A86"/>
          <w:sz w:val="20"/>
        </w:rPr>
        <w:t>21</w:t>
      </w:r>
    </w:p>
    <w:p>
      <w:pPr>
        <w:pStyle w:val="TOCEntry"/>
        <w:tabs>
          <w:tab w:pos="9694" w:val="right"/>
        </w:tabs>
      </w:pPr>
      <w:hyperlink w:anchor="sec16">
        <w:r>
          <w:rPr>
            <w:color w:val="173444"/>
            <w:rFonts w:ascii="Carlito" w:hAnsi="Carlito" w:eastAsia="Noto Sans CJK SC"/>
            <w:sz w:val="21"/>
          </w:rPr>
          <w:t>16 分阶段执行、晋级与停止条件</w:t>
        </w:r>
      </w:hyperlink>
      <w:r>
        <w:tab/>
      </w:r>
      <w:r>
        <w:rPr>
          <w:color w:val="167A86"/>
          <w:sz w:val="20"/>
        </w:rPr>
        <w:t>23</w:t>
      </w:r>
    </w:p>
    <w:p>
      <w:pPr>
        <w:pStyle w:val="TOCEntry"/>
        <w:tabs>
          <w:tab w:pos="9694" w:val="right"/>
        </w:tabs>
      </w:pPr>
      <w:hyperlink w:anchor="sec17">
        <w:r>
          <w:rPr>
            <w:color w:val="173444"/>
            <w:rFonts w:ascii="Carlito" w:hAnsi="Carlito" w:eastAsia="Noto Sans CJK SC"/>
            <w:sz w:val="21"/>
          </w:rPr>
          <w:t>附录 A 接口、配置与审计模板</w:t>
        </w:r>
      </w:hyperlink>
      <w:r>
        <w:tab/>
      </w:r>
      <w:r>
        <w:rPr>
          <w:color w:val="167A86"/>
          <w:sz w:val="20"/>
        </w:rPr>
        <w:t>25</w:t>
      </w:r>
    </w:p>
    <w:p>
      <w:pPr>
        <w:pStyle w:val="TOCEntry"/>
        <w:tabs>
          <w:tab w:pos="9694" w:val="right"/>
        </w:tabs>
      </w:pPr>
      <w:hyperlink w:anchor="sec18">
        <w:r>
          <w:rPr>
            <w:color w:val="173444"/>
            <w:rFonts w:ascii="Carlito" w:hAnsi="Carlito" w:eastAsia="Noto Sans CJK SC"/>
            <w:sz w:val="21"/>
          </w:rPr>
          <w:t>附录 B 术语与解释边界</w:t>
        </w:r>
      </w:hyperlink>
      <w:r>
        <w:tab/>
      </w:r>
      <w:r>
        <w:rPr>
          <w:color w:val="167A86"/>
          <w:sz w:val="20"/>
        </w:rPr>
        <w:t>27</w:t>
      </w:r>
    </w:p>
    <w:p>
      <w:pPr>
        <w:pStyle w:val="TOCEntry"/>
        <w:tabs>
          <w:tab w:pos="9694" w:val="right"/>
        </w:tabs>
      </w:pPr>
      <w:hyperlink w:anchor="sec19">
        <w:r>
          <w:rPr>
            <w:color w:val="173444"/>
            <w:rFonts w:ascii="Carlito" w:hAnsi="Carlito" w:eastAsia="Noto Sans CJK SC"/>
            <w:sz w:val="21"/>
          </w:rPr>
          <w:t>参考资料与核验范围</w:t>
        </w:r>
      </w:hyperlink>
      <w:r>
        <w:tab/>
      </w:r>
      <w:r>
        <w:rPr>
          <w:color w:val="167A86"/>
          <w:sz w:val="20"/>
        </w:rPr>
        <w:t>28</w:t>
      </w:r>
    </w:p>
    <w:p>
      <w:pPr>
        <w:pStyle w:val="Small"/>
        <w:spacing w:before="140"/>
      </w:pPr>
      <w:r>
        <w:rPr>
          <w:b/>
        </w:rPr>
        <w:t>阅读标记：</w:t>
      </w:r>
      <w:r>
        <w:t xml:space="preserve"> </w:t>
      </w:r>
      <w:hyperlink w:anchor="ref01">
        <w:r>
          <w:rPr>
            <w:color w:val="167A86"/>
            <w:rFonts w:ascii="Carlito" w:hAnsi="Carlito" w:eastAsia="Noto Sans CJK SC"/>
            <w:sz w:val="19"/>
          </w:rPr>
          <w:t>[01]</w:t>
        </w:r>
      </w:hyperlink>
      <w:r>
        <w:t xml:space="preserve"> 等编号可跳转至参考资料。难度评分和实施顺序属于工程判断；数据与代码事实按文末来源核验。</w:t>
      </w:r>
    </w:p>
    <w:p>
      <w:pPr>
        <w:pStyle w:val="Heading1"/>
      </w:pPr>
      <w:bookmarkStart w:id="2" w:name="sec1"/>
      <w:r>
        <w:t>01 研究定位与结论</w:t>
      </w:r>
      <w:bookmarkEnd w:id="2"/>
    </w:p>
    <w:p>
      <w:pPr>
        <w:pStyle w:val="Heading2"/>
      </w:pPr>
      <w:r>
        <w:t>1.1 这份文档要解决什么问题</w:t>
      </w:r>
    </w:p>
    <w:p>
      <w:r>
        <w:t>本方案面向一个具体问题：在 crypto 因子收益弱、交易成本显著、市场状态不断变化的前提下，Kronos 是否仍值得研究，以及怎样用有限工程投入判断它有没有增量价值。目标不是拼出功能最多的金融 AI 系统，而是建立一条可以逐步接受或否定假设的研究路线。</w:t>
      </w:r>
    </w:p>
    <w:p>
      <w:r>
        <w:rPr>
          <w:b/>
        </w:rPr>
        <w:t>推荐的第一版：原 tokenizer + 冻结 Kronos-small 表征 + 一个预先固定的动量基线 + 简单读出器／参与度预测头。</w:t>
      </w:r>
      <w:r>
        <w:t xml:space="preserve"> 有可靠历史数据时，再加入少量 OI、funding、basis 等外部状态。暂不重做 tokenizer，不先建设双时钟生成模型，也不立即开展大规模符号搜索。</w:t>
      </w:r>
    </w:p>
    <w:p>
      <w:r>
        <w:t>本方案把三类成果分开：预测贡献是相同信息条件下提高预测能力；经济贡献是风险与成本可比时改善样本外组合表现；工程贡献是降低计算成本、提高可复现性和可审计性。三者都可能有价值，但不能互相替代。</w:t>
      </w:r>
    </w:p>
    <w:p>
      <w:pPr>
        <w:pStyle w:val="Heading2"/>
      </w:pPr>
      <w:r>
        <w:t>1.2 四项核心判断</w:t>
      </w:r>
    </w:p>
    <w:p>
      <w:r>
        <w:rPr>
          <w:b/>
        </w:rPr>
        <w:t>先证明预训练有用，再扩大训练。</w:t>
      </w:r>
      <w:r>
        <w:t xml:space="preserve"> 最先比较普通特征模型与加入 Kronos 表征后的同类模型，而不是直接比较不同复杂度的完整策略。一个没有 Kronos 的小模型达到同样效果，应当视为减少成本的成功结论。</w:t>
      </w:r>
    </w:p>
    <w:p>
      <w:r>
        <w:rPr>
          <w:b/>
        </w:rPr>
        <w:t>先改目标，再改输入语言。</w:t>
      </w:r>
      <w:r>
        <w:t xml:space="preserve"> 让已有表征预测固定持有期净收益、动量参与价值或风险，比同时更改输入通道、tokenizer、时钟和损失更容易归因。改动少不是理论上更优，而是更便于发现失败发生在哪一层。</w:t>
      </w:r>
    </w:p>
    <w:p>
      <w:r>
        <w:rPr>
          <w:b/>
        </w:rPr>
        <w:t>先增加可信信息，再增加模型自由度。</w:t>
      </w:r>
      <w:r>
        <w:t xml:space="preserve"> 外部状态可能扩大可用信息集；成交密度加权主要改变模型如何分配拟合资源；事件条改变时间表达；符号搜索改变策略假设空间。这四件事不可混为一谈。</w:t>
      </w:r>
    </w:p>
    <w:p>
      <w:r>
        <w:rPr>
          <w:b/>
        </w:rPr>
        <w:t>验证体系是第一项工程，不是最后一道包装。</w:t>
      </w:r>
      <w:r>
        <w:t xml:space="preserve"> 所有模块必须共享时间切分、信息可用时间、交易成本和试验登记。否则，一个更强的搜索器也可能只是更高效地寻找历史偶然性。</w:t>
      </w:r>
      <w:hyperlink w:anchor="ref15">
        <w:r>
          <w:rPr>
            <w:color w:val="167A86"/>
            <w:rFonts w:ascii="Carlito" w:hAnsi="Carlito" w:eastAsia="Noto Sans CJK SC"/>
            <w:sz w:val="19"/>
          </w:rPr>
          <w:t>[15]</w:t>
        </w:r>
      </w:hyperlink>
    </w:p>
    <w:p>
      <w:pPr>
        <w:pStyle w:val="Heading2"/>
      </w:pPr>
      <w:r>
        <w:t>1.3 边界与不确定性</w:t>
      </w:r>
    </w:p>
    <w:p>
      <w:r>
        <w:t>本文提供的是研究设计和工程估计，没有实际训练模型，没有访问或运行用户服务器，也没有完成任何实盘收益验证。难度评分不是成功概率；后文的配置数值、样本规模和验收示例均为建议起点，不是已经调优的参数。</w:t>
      </w:r>
    </w:p>
    <w:p>
      <w:r>
        <w:t xml:space="preserve">沿用此前讨论中的开发条件：Python／PyTorch 能力、现有 Freqtrade 工作目录 </w:t>
      </w:r>
      <w:r>
        <w:rPr>
          <w:rFonts w:ascii="Carlito" w:hAnsi="Carlito" w:eastAsia="Noto Sans CJK SC"/>
          <w:color w:val="167A86"/>
        </w:rPr>
        <w:t>/home/athena/ft_userdata</w:t>
      </w:r>
      <w:r>
        <w:t>，以及 RTX 4060 Laptop。资源规划按约 8GB 显存假设展开，实施前须核实实际显存、驱动和可用内存。本方案不修改该目录，只把它作为未来接入位置。</w:t>
      </w:r>
    </w:p>
    <w:p>
      <w:pPr>
        <w:pStyle w:val="Callout"/>
        <w:shd w:fill="EFF5F7"/>
        <w:pBdr>
          <w:left w:val="single" w:sz="20" w:space="10" w:color="167A86"/>
        </w:pBdr>
      </w:pPr>
      <w:r>
        <w:t>核心决策原则：优先做“成本低、结论清楚、失败也能提供信息”的实验，而不是优先做“名字新、结构复杂、看起来有论文感”的实验。</w:t>
      </w:r>
    </w:p>
    <w:p>
      <w:pPr>
        <w:pStyle w:val="Heading1"/>
      </w:pPr>
      <w:bookmarkStart w:id="3" w:name="sec2"/>
      <w:r>
        <w:t>02 Kronos 的事实基线与需要纠正的前提</w:t>
      </w:r>
      <w:bookmarkEnd w:id="3"/>
    </w:p>
    <w:p>
      <w:pPr>
        <w:pStyle w:val="Heading2"/>
      </w:pPr>
      <w:r>
        <w:t>2.1 原模型提供了什么</w:t>
      </w:r>
    </w:p>
    <w:p>
      <w:r>
        <w:t>Kronos 使用 OHLCVA 六通道：开、高、低、收、成交量、成交额。tokenizer 将连续序列编码为粗／细两部分离散 token；自回归 Transformer 学习其转移关系。本文把它看作可复用的历史序列表征和生成骨干，而不把它直接视为交易策略。</w:t>
      </w:r>
      <w:hyperlink w:anchor="ref01">
        <w:r>
          <w:rPr>
            <w:color w:val="167A86"/>
            <w:rFonts w:ascii="Carlito" w:hAnsi="Carlito" w:eastAsia="Noto Sans CJK SC"/>
            <w:sz w:val="19"/>
          </w:rPr>
          <w:t>[01]</w:t>
        </w:r>
      </w:hyperlink>
      <w:hyperlink w:anchor="ref02">
        <w:r>
          <w:rPr>
            <w:color w:val="167A86"/>
            <w:rFonts w:ascii="Carlito" w:hAnsi="Carlito" w:eastAsia="Noto Sans CJK SC"/>
            <w:sz w:val="19"/>
          </w:rPr>
          <w:t>[02]</w:t>
        </w:r>
      </w:hyperlink>
    </w:p>
    <w:p>
      <w:r>
        <w:t xml:space="preserve">代码中的 </w:t>
      </w:r>
      <w:r>
        <w:rPr>
          <w:rFonts w:ascii="Carlito" w:hAnsi="Carlito" w:eastAsia="Noto Sans CJK SC"/>
          <w:color w:val="167A86"/>
        </w:rPr>
        <w:t>Kronos.decode_s1()</w:t>
      </w:r>
      <w:r>
        <w:t xml:space="preserve"> 同时返回 logits 和 </w:t>
      </w:r>
      <w:r>
        <w:rPr>
          <w:rFonts w:ascii="Carlito" w:hAnsi="Carlito" w:eastAsia="Noto Sans CJK SC"/>
          <w:color w:val="167A86"/>
        </w:rPr>
        <w:t>context</w:t>
      </w:r>
      <w:r>
        <w:t>，后者可以直接用作历史表征。提取表征无需生成未来路径。</w:t>
      </w:r>
      <w:r>
        <w:rPr>
          <w:rFonts w:ascii="Carlito" w:hAnsi="Carlito" w:eastAsia="Noto Sans CJK SC"/>
          <w:color w:val="167A86"/>
        </w:rPr>
        <w:t>KronosPredictor</w:t>
      </w:r>
      <w:r>
        <w:t xml:space="preserve"> 则封装了标准化、时间特征、生成和反标准化。原时间嵌入包括分钟、小时、星期、日和月，不直接提供事件持续时间这一变量。</w:t>
      </w:r>
      <w:hyperlink w:anchor="ref03">
        <w:r>
          <w:rPr>
            <w:color w:val="167A86"/>
            <w:rFonts w:ascii="Carlito" w:hAnsi="Carlito" w:eastAsia="Noto Sans CJK SC"/>
            <w:sz w:val="19"/>
          </w:rPr>
          <w:t>[03]</w:t>
        </w:r>
      </w:hyperlink>
      <w:hyperlink w:anchor="ref04">
        <w:r>
          <w:rPr>
            <w:color w:val="167A86"/>
            <w:rFonts w:ascii="Carlito" w:hAnsi="Carlito" w:eastAsia="Noto Sans CJK SC"/>
            <w:sz w:val="19"/>
          </w:rPr>
          <w:t>[04]</w:t>
        </w:r>
      </w:hyperlink>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423"/>
        <w:gridCol w:w="1357"/>
        <w:gridCol w:w="1551"/>
        <w:gridCol w:w="4362"/>
      </w:tblGrid>
      <w:tr>
        <w:trPr>
          <w:cantSplit/>
          <w:tblHeader/>
        </w:trPr>
        <w:tc>
          <w:tcPr>
            <w:tcW w:type="dxa" w:w="2423"/>
            <w:vAlign w:val="center"/>
            <w:tcMar>
              <w:top w:w="55" w:type="dxa"/>
              <w:bottom w:w="55" w:type="dxa"/>
              <w:left w:w="75" w:type="dxa"/>
              <w:right w:w="75" w:type="dxa"/>
            </w:tcMar>
            <w:shd w:fill="173444"/>
          </w:tcPr>
          <w:p>
            <w:pPr>
              <w:pStyle w:val="TableText"/>
              <w:keepNext/>
            </w:pPr>
            <w:r>
              <w:rPr>
                <w:b/>
                <w:color w:val="FFFFFF"/>
                <w:sz w:val="18"/>
              </w:rPr>
              <w:t>模型</w:t>
            </w:r>
          </w:p>
        </w:tc>
        <w:tc>
          <w:tcPr>
            <w:tcW w:type="dxa" w:w="1357"/>
            <w:vAlign w:val="center"/>
            <w:tcMar>
              <w:top w:w="55" w:type="dxa"/>
              <w:bottom w:w="55" w:type="dxa"/>
              <w:left w:w="75" w:type="dxa"/>
              <w:right w:w="75" w:type="dxa"/>
            </w:tcMar>
            <w:shd w:fill="173444"/>
          </w:tcPr>
          <w:p>
            <w:pPr>
              <w:pStyle w:val="TableText"/>
              <w:keepNext/>
            </w:pPr>
            <w:r>
              <w:rPr>
                <w:b/>
                <w:color w:val="FFFFFF"/>
                <w:sz w:val="18"/>
              </w:rPr>
              <w:t>参数量</w:t>
            </w:r>
          </w:p>
        </w:tc>
        <w:tc>
          <w:tcPr>
            <w:tcW w:type="dxa" w:w="1551"/>
            <w:vAlign w:val="center"/>
            <w:tcMar>
              <w:top w:w="55" w:type="dxa"/>
              <w:bottom w:w="55" w:type="dxa"/>
              <w:left w:w="75" w:type="dxa"/>
              <w:right w:w="75" w:type="dxa"/>
            </w:tcMar>
            <w:shd w:fill="173444"/>
          </w:tcPr>
          <w:p>
            <w:pPr>
              <w:pStyle w:val="TableText"/>
              <w:keepNext/>
            </w:pPr>
            <w:r>
              <w:rPr>
                <w:b/>
                <w:color w:val="FFFFFF"/>
                <w:sz w:val="18"/>
              </w:rPr>
              <w:t>上下文长度</w:t>
            </w:r>
          </w:p>
        </w:tc>
        <w:tc>
          <w:tcPr>
            <w:tcW w:type="dxa" w:w="4362"/>
            <w:vAlign w:val="center"/>
            <w:tcMar>
              <w:top w:w="55" w:type="dxa"/>
              <w:bottom w:w="55" w:type="dxa"/>
              <w:left w:w="75" w:type="dxa"/>
              <w:right w:w="75" w:type="dxa"/>
            </w:tcMar>
            <w:shd w:fill="173444"/>
          </w:tcPr>
          <w:p>
            <w:pPr>
              <w:pStyle w:val="TableText"/>
              <w:keepNext/>
            </w:pPr>
            <w:r>
              <w:rPr>
                <w:b/>
                <w:color w:val="FFFFFF"/>
                <w:sz w:val="18"/>
              </w:rPr>
              <w:t>本方案中的位置</w:t>
            </w:r>
          </w:p>
        </w:tc>
      </w:tr>
      <w:tr>
        <w:trPr>
          <w:cantSplit/>
        </w:trPr>
        <w:tc>
          <w:tcPr>
            <w:tcW w:type="dxa" w:w="2423"/>
            <w:vAlign w:val="center"/>
            <w:tcMar>
              <w:top w:w="55" w:type="dxa"/>
              <w:bottom w:w="55" w:type="dxa"/>
              <w:left w:w="75" w:type="dxa"/>
              <w:right w:w="75" w:type="dxa"/>
            </w:tcMar>
            <w:shd w:fill="FFFFFF"/>
          </w:tcPr>
          <w:p>
            <w:pPr>
              <w:pStyle w:val="TableText"/>
            </w:pPr>
            <w:r>
              <w:t>Kronos-mini</w:t>
            </w:r>
          </w:p>
        </w:tc>
        <w:tc>
          <w:tcPr>
            <w:tcW w:type="dxa" w:w="1357"/>
            <w:vAlign w:val="center"/>
            <w:tcMar>
              <w:top w:w="55" w:type="dxa"/>
              <w:bottom w:w="55" w:type="dxa"/>
              <w:left w:w="75" w:type="dxa"/>
              <w:right w:w="75" w:type="dxa"/>
            </w:tcMar>
            <w:shd w:fill="FFFFFF"/>
          </w:tcPr>
          <w:p>
            <w:pPr>
              <w:pStyle w:val="TableText"/>
            </w:pPr>
            <w:r>
              <w:t>4.1M</w:t>
            </w:r>
          </w:p>
        </w:tc>
        <w:tc>
          <w:tcPr>
            <w:tcW w:type="dxa" w:w="1551"/>
            <w:vAlign w:val="center"/>
            <w:tcMar>
              <w:top w:w="55" w:type="dxa"/>
              <w:bottom w:w="55" w:type="dxa"/>
              <w:left w:w="75" w:type="dxa"/>
              <w:right w:w="75" w:type="dxa"/>
            </w:tcMar>
            <w:shd w:fill="FFFFFF"/>
          </w:tcPr>
          <w:p>
            <w:pPr>
              <w:pStyle w:val="TableText"/>
            </w:pPr>
            <w:r>
              <w:t>2048</w:t>
            </w:r>
          </w:p>
        </w:tc>
        <w:tc>
          <w:tcPr>
            <w:tcW w:type="dxa" w:w="4362"/>
            <w:vAlign w:val="center"/>
            <w:tcMar>
              <w:top w:w="55" w:type="dxa"/>
              <w:bottom w:w="55" w:type="dxa"/>
              <w:left w:w="75" w:type="dxa"/>
              <w:right w:w="75" w:type="dxa"/>
            </w:tcMar>
            <w:shd w:fill="FFFFFF"/>
          </w:tcPr>
          <w:p>
            <w:pPr>
              <w:pStyle w:val="TableText"/>
            </w:pPr>
            <w:r>
              <w:t>资源敏感的独立对照，注意 tokenizer 不同</w:t>
            </w:r>
          </w:p>
        </w:tc>
      </w:tr>
      <w:tr>
        <w:trPr>
          <w:cantSplit/>
        </w:trPr>
        <w:tc>
          <w:tcPr>
            <w:tcW w:type="dxa" w:w="2423"/>
            <w:vAlign w:val="center"/>
            <w:tcMar>
              <w:top w:w="55" w:type="dxa"/>
              <w:bottom w:w="55" w:type="dxa"/>
              <w:left w:w="75" w:type="dxa"/>
              <w:right w:w="75" w:type="dxa"/>
            </w:tcMar>
            <w:shd w:fill="F2F6F8"/>
          </w:tcPr>
          <w:p>
            <w:pPr>
              <w:pStyle w:val="TableText"/>
            </w:pPr>
            <w:r>
              <w:t>Kronos-small</w:t>
            </w:r>
          </w:p>
        </w:tc>
        <w:tc>
          <w:tcPr>
            <w:tcW w:type="dxa" w:w="1357"/>
            <w:vAlign w:val="center"/>
            <w:tcMar>
              <w:top w:w="55" w:type="dxa"/>
              <w:bottom w:w="55" w:type="dxa"/>
              <w:left w:w="75" w:type="dxa"/>
              <w:right w:w="75" w:type="dxa"/>
            </w:tcMar>
            <w:shd w:fill="F2F6F8"/>
          </w:tcPr>
          <w:p>
            <w:pPr>
              <w:pStyle w:val="TableText"/>
            </w:pPr>
            <w:r>
              <w:t>24.7M</w:t>
            </w:r>
          </w:p>
        </w:tc>
        <w:tc>
          <w:tcPr>
            <w:tcW w:type="dxa" w:w="1551"/>
            <w:vAlign w:val="center"/>
            <w:tcMar>
              <w:top w:w="55" w:type="dxa"/>
              <w:bottom w:w="55" w:type="dxa"/>
              <w:left w:w="75" w:type="dxa"/>
              <w:right w:w="75" w:type="dxa"/>
            </w:tcMar>
            <w:shd w:fill="F2F6F8"/>
          </w:tcPr>
          <w:p>
            <w:pPr>
              <w:pStyle w:val="TableText"/>
            </w:pPr>
            <w:r>
              <w:t>512</w:t>
            </w:r>
          </w:p>
        </w:tc>
        <w:tc>
          <w:tcPr>
            <w:tcW w:type="dxa" w:w="4362"/>
            <w:vAlign w:val="center"/>
            <w:tcMar>
              <w:top w:w="55" w:type="dxa"/>
              <w:bottom w:w="55" w:type="dxa"/>
              <w:left w:w="75" w:type="dxa"/>
              <w:right w:w="75" w:type="dxa"/>
            </w:tcMar>
            <w:shd w:fill="F2F6F8"/>
          </w:tcPr>
          <w:p>
            <w:pPr>
              <w:pStyle w:val="TableText"/>
            </w:pPr>
            <w:r>
              <w:t>第一阶段默认骨干</w:t>
            </w:r>
          </w:p>
        </w:tc>
      </w:tr>
      <w:tr>
        <w:trPr>
          <w:cantSplit/>
        </w:trPr>
        <w:tc>
          <w:tcPr>
            <w:tcW w:type="dxa" w:w="2423"/>
            <w:vAlign w:val="center"/>
            <w:tcMar>
              <w:top w:w="55" w:type="dxa"/>
              <w:bottom w:w="55" w:type="dxa"/>
              <w:left w:w="75" w:type="dxa"/>
              <w:right w:w="75" w:type="dxa"/>
            </w:tcMar>
            <w:shd w:fill="FFFFFF"/>
          </w:tcPr>
          <w:p>
            <w:pPr>
              <w:pStyle w:val="TableText"/>
            </w:pPr>
            <w:r>
              <w:t>Kronos-base</w:t>
            </w:r>
          </w:p>
        </w:tc>
        <w:tc>
          <w:tcPr>
            <w:tcW w:type="dxa" w:w="1357"/>
            <w:vAlign w:val="center"/>
            <w:tcMar>
              <w:top w:w="55" w:type="dxa"/>
              <w:bottom w:w="55" w:type="dxa"/>
              <w:left w:w="75" w:type="dxa"/>
              <w:right w:w="75" w:type="dxa"/>
            </w:tcMar>
            <w:shd w:fill="FFFFFF"/>
          </w:tcPr>
          <w:p>
            <w:pPr>
              <w:pStyle w:val="TableText"/>
            </w:pPr>
            <w:r>
              <w:t>102.3M</w:t>
            </w:r>
          </w:p>
        </w:tc>
        <w:tc>
          <w:tcPr>
            <w:tcW w:type="dxa" w:w="1551"/>
            <w:vAlign w:val="center"/>
            <w:tcMar>
              <w:top w:w="55" w:type="dxa"/>
              <w:bottom w:w="55" w:type="dxa"/>
              <w:left w:w="75" w:type="dxa"/>
              <w:right w:w="75" w:type="dxa"/>
            </w:tcMar>
            <w:shd w:fill="FFFFFF"/>
          </w:tcPr>
          <w:p>
            <w:pPr>
              <w:pStyle w:val="TableText"/>
            </w:pPr>
            <w:r>
              <w:t>512</w:t>
            </w:r>
          </w:p>
        </w:tc>
        <w:tc>
          <w:tcPr>
            <w:tcW w:type="dxa" w:w="4362"/>
            <w:vAlign w:val="center"/>
            <w:tcMar>
              <w:top w:w="55" w:type="dxa"/>
              <w:bottom w:w="55" w:type="dxa"/>
              <w:left w:w="75" w:type="dxa"/>
              <w:right w:w="75" w:type="dxa"/>
            </w:tcMar>
            <w:shd w:fill="FFFFFF"/>
          </w:tcPr>
          <w:p>
            <w:pPr>
              <w:pStyle w:val="TableText"/>
            </w:pPr>
            <w:r>
              <w:t>small 有增益后才做容量对照</w:t>
            </w:r>
          </w:p>
        </w:tc>
      </w:tr>
      <w:tr>
        <w:trPr>
          <w:cantSplit/>
        </w:trPr>
        <w:tc>
          <w:tcPr>
            <w:tcW w:type="dxa" w:w="2423"/>
            <w:vAlign w:val="center"/>
            <w:tcMar>
              <w:top w:w="55" w:type="dxa"/>
              <w:bottom w:w="55" w:type="dxa"/>
              <w:left w:w="75" w:type="dxa"/>
              <w:right w:w="75" w:type="dxa"/>
            </w:tcMar>
            <w:shd w:fill="F2F6F8"/>
          </w:tcPr>
          <w:p>
            <w:pPr>
              <w:pStyle w:val="TableText"/>
            </w:pPr>
            <w:r>
              <w:t>Kronos-large</w:t>
            </w:r>
          </w:p>
        </w:tc>
        <w:tc>
          <w:tcPr>
            <w:tcW w:type="dxa" w:w="1357"/>
            <w:vAlign w:val="center"/>
            <w:tcMar>
              <w:top w:w="55" w:type="dxa"/>
              <w:bottom w:w="55" w:type="dxa"/>
              <w:left w:w="75" w:type="dxa"/>
              <w:right w:w="75" w:type="dxa"/>
            </w:tcMar>
            <w:shd w:fill="F2F6F8"/>
          </w:tcPr>
          <w:p>
            <w:pPr>
              <w:pStyle w:val="TableText"/>
            </w:pPr>
            <w:r>
              <w:t>499.2M</w:t>
            </w:r>
          </w:p>
        </w:tc>
        <w:tc>
          <w:tcPr>
            <w:tcW w:type="dxa" w:w="1551"/>
            <w:vAlign w:val="center"/>
            <w:tcMar>
              <w:top w:w="55" w:type="dxa"/>
              <w:bottom w:w="55" w:type="dxa"/>
              <w:left w:w="75" w:type="dxa"/>
              <w:right w:w="75" w:type="dxa"/>
            </w:tcMar>
            <w:shd w:fill="F2F6F8"/>
          </w:tcPr>
          <w:p>
            <w:pPr>
              <w:pStyle w:val="TableText"/>
            </w:pPr>
            <w:r>
              <w:t>512</w:t>
            </w:r>
          </w:p>
        </w:tc>
        <w:tc>
          <w:tcPr>
            <w:tcW w:type="dxa" w:w="4362"/>
            <w:vAlign w:val="center"/>
            <w:tcMar>
              <w:top w:w="55" w:type="dxa"/>
              <w:bottom w:w="55" w:type="dxa"/>
              <w:left w:w="75" w:type="dxa"/>
              <w:right w:w="75" w:type="dxa"/>
            </w:tcMar>
            <w:shd w:fill="F2F6F8"/>
          </w:tcPr>
          <w:p>
            <w:pPr>
              <w:pStyle w:val="TableText"/>
            </w:pPr>
            <w:r>
              <w:t>当前公开模型卡未提供权重，不作为依赖</w:t>
            </w:r>
          </w:p>
        </w:tc>
      </w:tr>
    </w:tbl>
    <w:p>
      <w:pPr>
        <w:spacing w:after="0" w:before="0" w:line="80" w:lineRule="exact"/>
      </w:pPr>
      <w:r>
        <w:rPr>
          <w:sz w:val="4"/>
        </w:rPr>
      </w:r>
    </w:p>
    <w:p>
      <w:r>
        <w:t>模型规格以核验时的官方模型卡为准。mini 与 small 的比较不只是参数大小对照，因为 tokenizer 和上下文设置也不同。</w:t>
      </w:r>
      <w:hyperlink w:anchor="ref09">
        <w:r>
          <w:rPr>
            <w:color w:val="167A86"/>
            <w:rFonts w:ascii="Carlito" w:hAnsi="Carlito" w:eastAsia="Noto Sans CJK SC"/>
            <w:sz w:val="19"/>
          </w:rPr>
          <w:t>[09]</w:t>
        </w:r>
      </w:hyperlink>
    </w:p>
    <w:p>
      <w:pPr>
        <w:pStyle w:val="Heading2"/>
      </w:pPr>
      <w:r>
        <w:t>2.2 五项重要修正</w:t>
      </w:r>
    </w:p>
    <w:p>
      <w:r>
        <w:rPr>
          <w:b/>
        </w:rPr>
        <w:t>不是第一次接触 crypto。</w:t>
      </w:r>
      <w:r>
        <w:t xml:space="preserve"> 论文数据表包含约 12.37 亿条 Binance 记录，涵盖 crypto／永续合约；训练还提高了 crypto 等类别的抽样权重。因此，crypto 继续训练是分布与任务适配，不是让模型首次认识这一市场。</w:t>
      </w:r>
      <w:hyperlink w:anchor="ref01">
        <w:r>
          <w:rPr>
            <w:color w:val="167A86"/>
            <w:rFonts w:ascii="Carlito" w:hAnsi="Carlito" w:eastAsia="Noto Sans CJK SC"/>
            <w:sz w:val="19"/>
          </w:rPr>
          <w:t>[01]</w:t>
        </w:r>
      </w:hyperlink>
    </w:p>
    <w:p>
      <w:r>
        <w:rPr>
          <w:b/>
        </w:rPr>
        <w:t>不是完全未处理价格尺度。</w:t>
      </w:r>
      <w:r>
        <w:t xml:space="preserve"> 原实现对输入窗口的各通道做标准化并截断。收益率重编码仍可研究，但不能以“原模型只会记名义价格”作为已经成立的解释。</w:t>
      </w:r>
      <w:hyperlink w:anchor="ref03">
        <w:r>
          <w:rPr>
            <w:color w:val="167A86"/>
            <w:rFonts w:ascii="Carlito" w:hAnsi="Carlito" w:eastAsia="Noto Sans CJK SC"/>
            <w:sz w:val="19"/>
          </w:rPr>
          <w:t>[03]</w:t>
        </w:r>
      </w:hyperlink>
    </w:p>
    <w:p>
      <w:r>
        <w:rPr>
          <w:b/>
        </w:rPr>
        <w:t>论文写过训练截止日期和成本。</w:t>
      </w:r>
      <w:r>
        <w:t xml:space="preserve"> 完整版称预训练数据截至 2024 年 6 月、测试始于 7 月；投资模拟写明每笔交易成本 0.15%。仍需区分论文版本、公开权重和具体 checkpoint 的来源关系，不能把三者自动等同。</w:t>
      </w:r>
      <w:hyperlink w:anchor="ref01">
        <w:r>
          <w:rPr>
            <w:color w:val="167A86"/>
            <w:rFonts w:ascii="Carlito" w:hAnsi="Carlito" w:eastAsia="Noto Sans CJK SC"/>
            <w:sz w:val="19"/>
          </w:rPr>
          <w:t>[01]</w:t>
        </w:r>
      </w:hyperlink>
      <w:hyperlink w:anchor="ref08">
        <w:r>
          <w:rPr>
            <w:color w:val="167A86"/>
            <w:rFonts w:ascii="Carlito" w:hAnsi="Carlito" w:eastAsia="Noto Sans CJK SC"/>
            <w:sz w:val="19"/>
          </w:rPr>
          <w:t>[08]</w:t>
        </w:r>
      </w:hyperlink>
    </w:p>
    <w:p>
      <w:r>
        <w:rPr>
          <w:b/>
        </w:rPr>
        <w:t>RankIC 不能一概称为横截面选币能力。</w:t>
      </w:r>
      <w:r>
        <w:t xml:space="preserve"> 论文的价格序列指标是在单个预测样本的未来路径内计算；收益预测指标另有定义。投资模拟确实做了 A 股组合排序，但这不证明 crypto 横截面任务天然更容易。</w:t>
      </w:r>
      <w:hyperlink w:anchor="ref01">
        <w:r>
          <w:rPr>
            <w:color w:val="167A86"/>
            <w:rFonts w:ascii="Carlito" w:hAnsi="Carlito" w:eastAsia="Noto Sans CJK SC"/>
            <w:sz w:val="19"/>
          </w:rPr>
          <w:t>[01]</w:t>
        </w:r>
      </w:hyperlink>
    </w:p>
    <w:p>
      <w:r>
        <w:rPr>
          <w:b/>
        </w:rPr>
        <w:t>归一化修复不等于已经证实论文失效。</w:t>
      </w:r>
      <w:r>
        <w:t xml:space="preserve"> PR #234 修复的是公开微调数据管线使用未来窗口统计量的问题。它要求重新审计相关实验，但不能单凭这个补丁断言全部预训练权重或论文结果均被污染。</w:t>
      </w:r>
      <w:hyperlink w:anchor="ref07">
        <w:r>
          <w:rPr>
            <w:color w:val="167A86"/>
            <w:rFonts w:ascii="Carlito" w:hAnsi="Carlito" w:eastAsia="Noto Sans CJK SC"/>
            <w:sz w:val="19"/>
          </w:rPr>
          <w:t>[07]</w:t>
        </w:r>
      </w:hyperlink>
    </w:p>
    <w:p>
      <w:pPr>
        <w:pStyle w:val="Heading2"/>
      </w:pPr>
      <w:r>
        <w:t>2.3 本文引用的代码快照</w:t>
      </w:r>
    </w:p>
    <w:p>
      <w:r>
        <w:t xml:space="preserve">核验日期为 2026-10-07，仓库默认分支当时指向 </w:t>
      </w:r>
      <w:r>
        <w:rPr>
          <w:rFonts w:ascii="Carlito" w:hAnsi="Carlito" w:eastAsia="Noto Sans CJK SC"/>
          <w:color w:val="167A86"/>
        </w:rPr>
        <w:t>67b630e67f6a18c9e9be918d9b4337c960db1e9a</w:t>
      </w:r>
      <w:r>
        <w:t>。代码建议依据这个快照，而不是依据未合并社区 PR。实施时同时固定仓库提交、tokenizer revision、模型 revision 和本地文件校验值。</w:t>
      </w:r>
      <w:hyperlink w:anchor="ref02">
        <w:r>
          <w:rPr>
            <w:color w:val="167A86"/>
            <w:rFonts w:ascii="Carlito" w:hAnsi="Carlito" w:eastAsia="Noto Sans CJK SC"/>
            <w:sz w:val="19"/>
          </w:rPr>
          <w:t>[02]</w:t>
        </w:r>
      </w:hyperlink>
    </w:p>
    <w:p>
      <w:r>
        <w:t>本文不把社区收益截图、个别失败回测或模型热度用作收益能力证据。它们最多帮助发现值得审计的问题。</w:t>
      </w:r>
    </w:p>
    <w:p>
      <w:pPr>
        <w:pStyle w:val="Heading1"/>
      </w:pPr>
      <w:bookmarkStart w:id="4" w:name="sec3"/>
      <w:r>
        <w:t>03 难度、成本与优先级总览</w:t>
      </w:r>
      <w:bookmarkEnd w:id="4"/>
    </w:p>
    <w:p>
      <w:pPr>
        <w:pStyle w:val="Heading2"/>
      </w:pPr>
      <w:r>
        <w:t>3.1 评分口径</w:t>
      </w:r>
    </w:p>
    <w:p>
      <w:r>
        <w:t>工程难度按 1—5 级估计：1 为局部接口／损失改动；2 为一个清晰模块；3 为数据、训练与回测的协同修改；4 为多模块重构；5 为新的研究基础设施或模型体系。数据难度单独列出，因为可靠历史状态数据可能比模型开发更昂贵。</w:t>
      </w:r>
    </w:p>
    <w:p>
      <w:r>
        <w:t>算力等级表示相对于其他路线的负担，不等于指定 GPU 能否运行。验证难度表示区分真实增益和噪声的困难程度。所有评分都是本方案的工程判断，而非客观测量结果。</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908"/>
        <w:gridCol w:w="969"/>
        <w:gridCol w:w="872"/>
        <w:gridCol w:w="1066"/>
        <w:gridCol w:w="969"/>
        <w:gridCol w:w="2908"/>
      </w:tblGrid>
      <w:tr>
        <w:trPr>
          <w:cantSplit/>
          <w:tblHeader/>
        </w:trPr>
        <w:tc>
          <w:tcPr>
            <w:tcW w:type="dxa" w:w="2908"/>
            <w:vAlign w:val="center"/>
            <w:tcMar>
              <w:top w:w="55" w:type="dxa"/>
              <w:bottom w:w="55" w:type="dxa"/>
              <w:left w:w="75" w:type="dxa"/>
              <w:right w:w="75" w:type="dxa"/>
            </w:tcMar>
            <w:shd w:fill="173444"/>
          </w:tcPr>
          <w:p>
            <w:pPr>
              <w:pStyle w:val="TableText"/>
              <w:keepNext/>
            </w:pPr>
            <w:r>
              <w:rPr>
                <w:b/>
                <w:color w:val="FFFFFF"/>
                <w:sz w:val="18"/>
              </w:rPr>
              <w:t>路线</w:t>
            </w:r>
          </w:p>
        </w:tc>
        <w:tc>
          <w:tcPr>
            <w:tcW w:type="dxa" w:w="969"/>
            <w:vAlign w:val="center"/>
            <w:tcMar>
              <w:top w:w="55" w:type="dxa"/>
              <w:bottom w:w="55" w:type="dxa"/>
              <w:left w:w="75" w:type="dxa"/>
              <w:right w:w="75" w:type="dxa"/>
            </w:tcMar>
            <w:shd w:fill="173444"/>
          </w:tcPr>
          <w:p>
            <w:pPr>
              <w:pStyle w:val="TableText"/>
              <w:keepNext/>
            </w:pPr>
            <w:r>
              <w:rPr>
                <w:b/>
                <w:color w:val="FFFFFF"/>
                <w:sz w:val="18"/>
              </w:rPr>
              <w:t>工程</w:t>
            </w:r>
          </w:p>
        </w:tc>
        <w:tc>
          <w:tcPr>
            <w:tcW w:type="dxa" w:w="872"/>
            <w:vAlign w:val="center"/>
            <w:tcMar>
              <w:top w:w="55" w:type="dxa"/>
              <w:bottom w:w="55" w:type="dxa"/>
              <w:left w:w="75" w:type="dxa"/>
              <w:right w:w="75" w:type="dxa"/>
            </w:tcMar>
            <w:shd w:fill="173444"/>
          </w:tcPr>
          <w:p>
            <w:pPr>
              <w:pStyle w:val="TableText"/>
              <w:keepNext/>
            </w:pPr>
            <w:r>
              <w:rPr>
                <w:b/>
                <w:color w:val="FFFFFF"/>
                <w:sz w:val="18"/>
              </w:rPr>
              <w:t>数据</w:t>
            </w:r>
          </w:p>
        </w:tc>
        <w:tc>
          <w:tcPr>
            <w:tcW w:type="dxa" w:w="1066"/>
            <w:vAlign w:val="center"/>
            <w:tcMar>
              <w:top w:w="55" w:type="dxa"/>
              <w:bottom w:w="55" w:type="dxa"/>
              <w:left w:w="75" w:type="dxa"/>
              <w:right w:w="75" w:type="dxa"/>
            </w:tcMar>
            <w:shd w:fill="173444"/>
          </w:tcPr>
          <w:p>
            <w:pPr>
              <w:pStyle w:val="TableText"/>
              <w:keepNext/>
            </w:pPr>
            <w:r>
              <w:rPr>
                <w:b/>
                <w:color w:val="FFFFFF"/>
                <w:sz w:val="18"/>
              </w:rPr>
              <w:t>算力</w:t>
            </w:r>
          </w:p>
        </w:tc>
        <w:tc>
          <w:tcPr>
            <w:tcW w:type="dxa" w:w="969"/>
            <w:vAlign w:val="center"/>
            <w:tcMar>
              <w:top w:w="55" w:type="dxa"/>
              <w:bottom w:w="55" w:type="dxa"/>
              <w:left w:w="75" w:type="dxa"/>
              <w:right w:w="75" w:type="dxa"/>
            </w:tcMar>
            <w:shd w:fill="173444"/>
          </w:tcPr>
          <w:p>
            <w:pPr>
              <w:pStyle w:val="TableText"/>
              <w:keepNext/>
            </w:pPr>
            <w:r>
              <w:rPr>
                <w:b/>
                <w:color w:val="FFFFFF"/>
                <w:sz w:val="18"/>
              </w:rPr>
              <w:t>验证</w:t>
            </w:r>
          </w:p>
        </w:tc>
        <w:tc>
          <w:tcPr>
            <w:tcW w:type="dxa" w:w="2908"/>
            <w:vAlign w:val="center"/>
            <w:tcMar>
              <w:top w:w="55" w:type="dxa"/>
              <w:bottom w:w="55" w:type="dxa"/>
              <w:left w:w="75" w:type="dxa"/>
              <w:right w:w="75" w:type="dxa"/>
            </w:tcMar>
            <w:shd w:fill="173444"/>
          </w:tcPr>
          <w:p>
            <w:pPr>
              <w:pStyle w:val="TableText"/>
              <w:keepNext/>
            </w:pPr>
            <w:r>
              <w:rPr>
                <w:b/>
                <w:color w:val="FFFFFF"/>
                <w:sz w:val="18"/>
              </w:rPr>
              <w:t>优先级</w:t>
            </w:r>
          </w:p>
        </w:tc>
      </w:tr>
      <w:tr>
        <w:trPr>
          <w:cantSplit/>
        </w:trPr>
        <w:tc>
          <w:tcPr>
            <w:tcW w:type="dxa" w:w="2908"/>
            <w:vAlign w:val="center"/>
            <w:tcMar>
              <w:top w:w="55" w:type="dxa"/>
              <w:bottom w:w="55" w:type="dxa"/>
              <w:left w:w="75" w:type="dxa"/>
              <w:right w:w="75" w:type="dxa"/>
            </w:tcMar>
            <w:shd w:fill="FFFFFF"/>
          </w:tcPr>
          <w:p>
            <w:pPr>
              <w:pStyle w:val="TableText"/>
            </w:pPr>
            <w:r>
              <w:t>冻结表征与预测探针</w:t>
            </w:r>
          </w:p>
        </w:tc>
        <w:tc>
          <w:tcPr>
            <w:tcW w:type="dxa" w:w="969"/>
            <w:vAlign w:val="center"/>
            <w:tcMar>
              <w:top w:w="55" w:type="dxa"/>
              <w:bottom w:w="55" w:type="dxa"/>
              <w:left w:w="75" w:type="dxa"/>
              <w:right w:w="75" w:type="dxa"/>
            </w:tcMar>
            <w:shd w:fill="FFFFFF"/>
          </w:tcPr>
          <w:p>
            <w:pPr>
              <w:pStyle w:val="TableText"/>
            </w:pPr>
            <w:r>
              <w:t>1–2</w:t>
            </w:r>
          </w:p>
        </w:tc>
        <w:tc>
          <w:tcPr>
            <w:tcW w:type="dxa" w:w="872"/>
            <w:vAlign w:val="center"/>
            <w:tcMar>
              <w:top w:w="55" w:type="dxa"/>
              <w:bottom w:w="55" w:type="dxa"/>
              <w:left w:w="75" w:type="dxa"/>
              <w:right w:w="75" w:type="dxa"/>
            </w:tcMar>
            <w:shd w:fill="FFFFFF"/>
          </w:tcPr>
          <w:p>
            <w:pPr>
              <w:pStyle w:val="TableText"/>
            </w:pPr>
            <w:r>
              <w:t>2</w:t>
            </w:r>
          </w:p>
        </w:tc>
        <w:tc>
          <w:tcPr>
            <w:tcW w:type="dxa" w:w="1066"/>
            <w:vAlign w:val="center"/>
            <w:tcMar>
              <w:top w:w="55" w:type="dxa"/>
              <w:bottom w:w="55" w:type="dxa"/>
              <w:left w:w="75" w:type="dxa"/>
              <w:right w:w="75" w:type="dxa"/>
            </w:tcMar>
            <w:shd w:fill="FFFFFF"/>
          </w:tcPr>
          <w:p>
            <w:pPr>
              <w:pStyle w:val="TableText"/>
            </w:pPr>
            <w:r>
              <w:t>1–2</w:t>
            </w:r>
          </w:p>
        </w:tc>
        <w:tc>
          <w:tcPr>
            <w:tcW w:type="dxa" w:w="969"/>
            <w:vAlign w:val="center"/>
            <w:tcMar>
              <w:top w:w="55" w:type="dxa"/>
              <w:bottom w:w="55" w:type="dxa"/>
              <w:left w:w="75" w:type="dxa"/>
              <w:right w:w="75" w:type="dxa"/>
            </w:tcMar>
            <w:shd w:fill="FFFFFF"/>
          </w:tcPr>
          <w:p>
            <w:pPr>
              <w:pStyle w:val="TableText"/>
            </w:pPr>
            <w:r>
              <w:t>4</w:t>
            </w:r>
          </w:p>
        </w:tc>
        <w:tc>
          <w:tcPr>
            <w:tcW w:type="dxa" w:w="2908"/>
            <w:vAlign w:val="center"/>
            <w:tcMar>
              <w:top w:w="55" w:type="dxa"/>
              <w:bottom w:w="55" w:type="dxa"/>
              <w:left w:w="75" w:type="dxa"/>
              <w:right w:w="75" w:type="dxa"/>
            </w:tcMar>
            <w:shd w:fill="FFFFFF"/>
          </w:tcPr>
          <w:p>
            <w:pPr>
              <w:pStyle w:val="TableText"/>
            </w:pPr>
            <w:r>
              <w:t>P0</w:t>
            </w:r>
          </w:p>
        </w:tc>
      </w:tr>
      <w:tr>
        <w:trPr>
          <w:cantSplit/>
        </w:trPr>
        <w:tc>
          <w:tcPr>
            <w:tcW w:type="dxa" w:w="2908"/>
            <w:vAlign w:val="center"/>
            <w:tcMar>
              <w:top w:w="55" w:type="dxa"/>
              <w:bottom w:w="55" w:type="dxa"/>
              <w:left w:w="75" w:type="dxa"/>
              <w:right w:w="75" w:type="dxa"/>
            </w:tcMar>
            <w:shd w:fill="F2F6F8"/>
          </w:tcPr>
          <w:p>
            <w:pPr>
              <w:pStyle w:val="TableText"/>
            </w:pPr>
            <w:r>
              <w:t>动量参与／净收益头</w:t>
            </w:r>
          </w:p>
        </w:tc>
        <w:tc>
          <w:tcPr>
            <w:tcW w:type="dxa" w:w="969"/>
            <w:vAlign w:val="center"/>
            <w:tcMar>
              <w:top w:w="55" w:type="dxa"/>
              <w:bottom w:w="55" w:type="dxa"/>
              <w:left w:w="75" w:type="dxa"/>
              <w:right w:w="75" w:type="dxa"/>
            </w:tcMar>
            <w:shd w:fill="F2F6F8"/>
          </w:tcPr>
          <w:p>
            <w:pPr>
              <w:pStyle w:val="TableText"/>
            </w:pPr>
            <w:r>
              <w:t>2；解冻后3</w:t>
            </w:r>
          </w:p>
        </w:tc>
        <w:tc>
          <w:tcPr>
            <w:tcW w:type="dxa" w:w="872"/>
            <w:vAlign w:val="center"/>
            <w:tcMar>
              <w:top w:w="55" w:type="dxa"/>
              <w:bottom w:w="55" w:type="dxa"/>
              <w:left w:w="75" w:type="dxa"/>
              <w:right w:w="75" w:type="dxa"/>
            </w:tcMar>
            <w:shd w:fill="F2F6F8"/>
          </w:tcPr>
          <w:p>
            <w:pPr>
              <w:pStyle w:val="TableText"/>
            </w:pPr>
            <w:r>
              <w:t>2</w:t>
            </w:r>
          </w:p>
        </w:tc>
        <w:tc>
          <w:tcPr>
            <w:tcW w:type="dxa" w:w="1066"/>
            <w:vAlign w:val="center"/>
            <w:tcMar>
              <w:top w:w="55" w:type="dxa"/>
              <w:bottom w:w="55" w:type="dxa"/>
              <w:left w:w="75" w:type="dxa"/>
              <w:right w:w="75" w:type="dxa"/>
            </w:tcMar>
            <w:shd w:fill="F2F6F8"/>
          </w:tcPr>
          <w:p>
            <w:pPr>
              <w:pStyle w:val="TableText"/>
            </w:pPr>
            <w:r>
              <w:t>1–3</w:t>
            </w:r>
          </w:p>
        </w:tc>
        <w:tc>
          <w:tcPr>
            <w:tcW w:type="dxa" w:w="969"/>
            <w:vAlign w:val="center"/>
            <w:tcMar>
              <w:top w:w="55" w:type="dxa"/>
              <w:bottom w:w="55" w:type="dxa"/>
              <w:left w:w="75" w:type="dxa"/>
              <w:right w:w="75" w:type="dxa"/>
            </w:tcMar>
            <w:shd w:fill="F2F6F8"/>
          </w:tcPr>
          <w:p>
            <w:pPr>
              <w:pStyle w:val="TableText"/>
            </w:pPr>
            <w:r>
              <w:t>5</w:t>
            </w:r>
          </w:p>
        </w:tc>
        <w:tc>
          <w:tcPr>
            <w:tcW w:type="dxa" w:w="2908"/>
            <w:vAlign w:val="center"/>
            <w:tcMar>
              <w:top w:w="55" w:type="dxa"/>
              <w:bottom w:w="55" w:type="dxa"/>
              <w:left w:w="75" w:type="dxa"/>
              <w:right w:w="75" w:type="dxa"/>
            </w:tcMar>
            <w:shd w:fill="F2F6F8"/>
          </w:tcPr>
          <w:p>
            <w:pPr>
              <w:pStyle w:val="TableText"/>
            </w:pPr>
            <w:r>
              <w:t>P0</w:t>
            </w:r>
          </w:p>
        </w:tc>
      </w:tr>
      <w:tr>
        <w:trPr>
          <w:cantSplit/>
        </w:trPr>
        <w:tc>
          <w:tcPr>
            <w:tcW w:type="dxa" w:w="2908"/>
            <w:vAlign w:val="center"/>
            <w:tcMar>
              <w:top w:w="55" w:type="dxa"/>
              <w:bottom w:w="55" w:type="dxa"/>
              <w:left w:w="75" w:type="dxa"/>
              <w:right w:w="75" w:type="dxa"/>
            </w:tcMar>
            <w:shd w:fill="FFFFFF"/>
          </w:tcPr>
          <w:p>
            <w:pPr>
              <w:pStyle w:val="TableText"/>
            </w:pPr>
            <w:r>
              <w:t>量化前后信息诊断</w:t>
            </w:r>
          </w:p>
        </w:tc>
        <w:tc>
          <w:tcPr>
            <w:tcW w:type="dxa" w:w="969"/>
            <w:vAlign w:val="center"/>
            <w:tcMar>
              <w:top w:w="55" w:type="dxa"/>
              <w:bottom w:w="55" w:type="dxa"/>
              <w:left w:w="75" w:type="dxa"/>
              <w:right w:w="75" w:type="dxa"/>
            </w:tcMar>
            <w:shd w:fill="FFFFFF"/>
          </w:tcPr>
          <w:p>
            <w:pPr>
              <w:pStyle w:val="TableText"/>
            </w:pPr>
            <w:r>
              <w:t>2–3</w:t>
            </w:r>
          </w:p>
        </w:tc>
        <w:tc>
          <w:tcPr>
            <w:tcW w:type="dxa" w:w="872"/>
            <w:vAlign w:val="center"/>
            <w:tcMar>
              <w:top w:w="55" w:type="dxa"/>
              <w:bottom w:w="55" w:type="dxa"/>
              <w:left w:w="75" w:type="dxa"/>
              <w:right w:w="75" w:type="dxa"/>
            </w:tcMar>
            <w:shd w:fill="FFFFFF"/>
          </w:tcPr>
          <w:p>
            <w:pPr>
              <w:pStyle w:val="TableText"/>
            </w:pPr>
            <w:r>
              <w:t>2</w:t>
            </w:r>
          </w:p>
        </w:tc>
        <w:tc>
          <w:tcPr>
            <w:tcW w:type="dxa" w:w="1066"/>
            <w:vAlign w:val="center"/>
            <w:tcMar>
              <w:top w:w="55" w:type="dxa"/>
              <w:bottom w:w="55" w:type="dxa"/>
              <w:left w:w="75" w:type="dxa"/>
              <w:right w:w="75" w:type="dxa"/>
            </w:tcMar>
            <w:shd w:fill="FFFFFF"/>
          </w:tcPr>
          <w:p>
            <w:pPr>
              <w:pStyle w:val="TableText"/>
            </w:pPr>
            <w:r>
              <w:t>2</w:t>
            </w:r>
          </w:p>
        </w:tc>
        <w:tc>
          <w:tcPr>
            <w:tcW w:type="dxa" w:w="969"/>
            <w:vAlign w:val="center"/>
            <w:tcMar>
              <w:top w:w="55" w:type="dxa"/>
              <w:bottom w:w="55" w:type="dxa"/>
              <w:left w:w="75" w:type="dxa"/>
              <w:right w:w="75" w:type="dxa"/>
            </w:tcMar>
            <w:shd w:fill="FFFFFF"/>
          </w:tcPr>
          <w:p>
            <w:pPr>
              <w:pStyle w:val="TableText"/>
            </w:pPr>
            <w:r>
              <w:t>4</w:t>
            </w:r>
          </w:p>
        </w:tc>
        <w:tc>
          <w:tcPr>
            <w:tcW w:type="dxa" w:w="2908"/>
            <w:vAlign w:val="center"/>
            <w:tcMar>
              <w:top w:w="55" w:type="dxa"/>
              <w:bottom w:w="55" w:type="dxa"/>
              <w:left w:w="75" w:type="dxa"/>
              <w:right w:w="75" w:type="dxa"/>
            </w:tcMar>
            <w:shd w:fill="FFFFFF"/>
          </w:tcPr>
          <w:p>
            <w:pPr>
              <w:pStyle w:val="TableText"/>
            </w:pPr>
            <w:r>
              <w:t>P1</w:t>
            </w:r>
          </w:p>
        </w:tc>
      </w:tr>
      <w:tr>
        <w:trPr>
          <w:cantSplit/>
        </w:trPr>
        <w:tc>
          <w:tcPr>
            <w:tcW w:type="dxa" w:w="2908"/>
            <w:vAlign w:val="center"/>
            <w:tcMar>
              <w:top w:w="55" w:type="dxa"/>
              <w:bottom w:w="55" w:type="dxa"/>
              <w:left w:w="75" w:type="dxa"/>
              <w:right w:w="75" w:type="dxa"/>
            </w:tcMar>
            <w:shd w:fill="F2F6F8"/>
          </w:tcPr>
          <w:p>
            <w:pPr>
              <w:pStyle w:val="TableText"/>
            </w:pPr>
            <w:r>
              <w:t>波动、下行风险头</w:t>
            </w:r>
          </w:p>
        </w:tc>
        <w:tc>
          <w:tcPr>
            <w:tcW w:type="dxa" w:w="969"/>
            <w:vAlign w:val="center"/>
            <w:tcMar>
              <w:top w:w="55" w:type="dxa"/>
              <w:bottom w:w="55" w:type="dxa"/>
              <w:left w:w="75" w:type="dxa"/>
              <w:right w:w="75" w:type="dxa"/>
            </w:tcMar>
            <w:shd w:fill="F2F6F8"/>
          </w:tcPr>
          <w:p>
            <w:pPr>
              <w:pStyle w:val="TableText"/>
            </w:pPr>
            <w:r>
              <w:t>2–3</w:t>
            </w:r>
          </w:p>
        </w:tc>
        <w:tc>
          <w:tcPr>
            <w:tcW w:type="dxa" w:w="872"/>
            <w:vAlign w:val="center"/>
            <w:tcMar>
              <w:top w:w="55" w:type="dxa"/>
              <w:bottom w:w="55" w:type="dxa"/>
              <w:left w:w="75" w:type="dxa"/>
              <w:right w:w="75" w:type="dxa"/>
            </w:tcMar>
            <w:shd w:fill="F2F6F8"/>
          </w:tcPr>
          <w:p>
            <w:pPr>
              <w:pStyle w:val="TableText"/>
            </w:pPr>
            <w:r>
              <w:t>2</w:t>
            </w:r>
          </w:p>
        </w:tc>
        <w:tc>
          <w:tcPr>
            <w:tcW w:type="dxa" w:w="1066"/>
            <w:vAlign w:val="center"/>
            <w:tcMar>
              <w:top w:w="55" w:type="dxa"/>
              <w:bottom w:w="55" w:type="dxa"/>
              <w:left w:w="75" w:type="dxa"/>
              <w:right w:w="75" w:type="dxa"/>
            </w:tcMar>
            <w:shd w:fill="F2F6F8"/>
          </w:tcPr>
          <w:p>
            <w:pPr>
              <w:pStyle w:val="TableText"/>
            </w:pPr>
            <w:r>
              <w:t>2</w:t>
            </w:r>
          </w:p>
        </w:tc>
        <w:tc>
          <w:tcPr>
            <w:tcW w:type="dxa" w:w="969"/>
            <w:vAlign w:val="center"/>
            <w:tcMar>
              <w:top w:w="55" w:type="dxa"/>
              <w:bottom w:w="55" w:type="dxa"/>
              <w:left w:w="75" w:type="dxa"/>
              <w:right w:w="75" w:type="dxa"/>
            </w:tcMar>
            <w:shd w:fill="F2F6F8"/>
          </w:tcPr>
          <w:p>
            <w:pPr>
              <w:pStyle w:val="TableText"/>
            </w:pPr>
            <w:r>
              <w:t>4</w:t>
            </w:r>
          </w:p>
        </w:tc>
        <w:tc>
          <w:tcPr>
            <w:tcW w:type="dxa" w:w="2908"/>
            <w:vAlign w:val="center"/>
            <w:tcMar>
              <w:top w:w="55" w:type="dxa"/>
              <w:bottom w:w="55" w:type="dxa"/>
              <w:left w:w="75" w:type="dxa"/>
              <w:right w:w="75" w:type="dxa"/>
            </w:tcMar>
            <w:shd w:fill="F2F6F8"/>
          </w:tcPr>
          <w:p>
            <w:pPr>
              <w:pStyle w:val="TableText"/>
            </w:pPr>
            <w:r>
              <w:t>P1</w:t>
            </w:r>
          </w:p>
        </w:tc>
      </w:tr>
      <w:tr>
        <w:trPr>
          <w:cantSplit/>
        </w:trPr>
        <w:tc>
          <w:tcPr>
            <w:tcW w:type="dxa" w:w="2908"/>
            <w:vAlign w:val="center"/>
            <w:tcMar>
              <w:top w:w="55" w:type="dxa"/>
              <w:bottom w:w="55" w:type="dxa"/>
              <w:left w:w="75" w:type="dxa"/>
              <w:right w:w="75" w:type="dxa"/>
            </w:tcMar>
            <w:shd w:fill="FFFFFF"/>
          </w:tcPr>
          <w:p>
            <w:pPr>
              <w:pStyle w:val="TableText"/>
            </w:pPr>
            <w:r>
              <w:t>原生状态后融合</w:t>
            </w:r>
          </w:p>
        </w:tc>
        <w:tc>
          <w:tcPr>
            <w:tcW w:type="dxa" w:w="969"/>
            <w:vAlign w:val="center"/>
            <w:tcMar>
              <w:top w:w="55" w:type="dxa"/>
              <w:bottom w:w="55" w:type="dxa"/>
              <w:left w:w="75" w:type="dxa"/>
              <w:right w:w="75" w:type="dxa"/>
            </w:tcMar>
            <w:shd w:fill="FFFFFF"/>
          </w:tcPr>
          <w:p>
            <w:pPr>
              <w:pStyle w:val="TableText"/>
            </w:pPr>
            <w:r>
              <w:t>2</w:t>
            </w:r>
          </w:p>
        </w:tc>
        <w:tc>
          <w:tcPr>
            <w:tcW w:type="dxa" w:w="872"/>
            <w:vAlign w:val="center"/>
            <w:tcMar>
              <w:top w:w="55" w:type="dxa"/>
              <w:bottom w:w="55" w:type="dxa"/>
              <w:left w:w="75" w:type="dxa"/>
              <w:right w:w="75" w:type="dxa"/>
            </w:tcMar>
            <w:shd w:fill="FFFFFF"/>
          </w:tcPr>
          <w:p>
            <w:pPr>
              <w:pStyle w:val="TableText"/>
            </w:pPr>
            <w:r>
              <w:t>2–4</w:t>
            </w:r>
          </w:p>
        </w:tc>
        <w:tc>
          <w:tcPr>
            <w:tcW w:type="dxa" w:w="1066"/>
            <w:vAlign w:val="center"/>
            <w:tcMar>
              <w:top w:w="55" w:type="dxa"/>
              <w:bottom w:w="55" w:type="dxa"/>
              <w:left w:w="75" w:type="dxa"/>
              <w:right w:w="75" w:type="dxa"/>
            </w:tcMar>
            <w:shd w:fill="FFFFFF"/>
          </w:tcPr>
          <w:p>
            <w:pPr>
              <w:pStyle w:val="TableText"/>
            </w:pPr>
            <w:r>
              <w:t>1–2</w:t>
            </w:r>
          </w:p>
        </w:tc>
        <w:tc>
          <w:tcPr>
            <w:tcW w:type="dxa" w:w="969"/>
            <w:vAlign w:val="center"/>
            <w:tcMar>
              <w:top w:w="55" w:type="dxa"/>
              <w:bottom w:w="55" w:type="dxa"/>
              <w:left w:w="75" w:type="dxa"/>
              <w:right w:w="75" w:type="dxa"/>
            </w:tcMar>
            <w:shd w:fill="FFFFFF"/>
          </w:tcPr>
          <w:p>
            <w:pPr>
              <w:pStyle w:val="TableText"/>
            </w:pPr>
            <w:r>
              <w:t>4</w:t>
            </w:r>
          </w:p>
        </w:tc>
        <w:tc>
          <w:tcPr>
            <w:tcW w:type="dxa" w:w="2908"/>
            <w:vAlign w:val="center"/>
            <w:tcMar>
              <w:top w:w="55" w:type="dxa"/>
              <w:bottom w:w="55" w:type="dxa"/>
              <w:left w:w="75" w:type="dxa"/>
              <w:right w:w="75" w:type="dxa"/>
            </w:tcMar>
            <w:shd w:fill="FFFFFF"/>
          </w:tcPr>
          <w:p>
            <w:pPr>
              <w:pStyle w:val="TableText"/>
            </w:pPr>
            <w:r>
              <w:t>P1，数据可靠时</w:t>
            </w:r>
          </w:p>
        </w:tc>
      </w:tr>
      <w:tr>
        <w:trPr>
          <w:cantSplit/>
        </w:trPr>
        <w:tc>
          <w:tcPr>
            <w:tcW w:type="dxa" w:w="2908"/>
            <w:vAlign w:val="center"/>
            <w:tcMar>
              <w:top w:w="55" w:type="dxa"/>
              <w:bottom w:w="55" w:type="dxa"/>
              <w:left w:w="75" w:type="dxa"/>
              <w:right w:w="75" w:type="dxa"/>
            </w:tcMar>
            <w:shd w:fill="F2F6F8"/>
          </w:tcPr>
          <w:p>
            <w:pPr>
              <w:pStyle w:val="TableText"/>
            </w:pPr>
            <w:r>
              <w:t>固定 tokenizer 的继续训练</w:t>
            </w:r>
          </w:p>
        </w:tc>
        <w:tc>
          <w:tcPr>
            <w:tcW w:type="dxa" w:w="969"/>
            <w:vAlign w:val="center"/>
            <w:tcMar>
              <w:top w:w="55" w:type="dxa"/>
              <w:bottom w:w="55" w:type="dxa"/>
              <w:left w:w="75" w:type="dxa"/>
              <w:right w:w="75" w:type="dxa"/>
            </w:tcMar>
            <w:shd w:fill="F2F6F8"/>
          </w:tcPr>
          <w:p>
            <w:pPr>
              <w:pStyle w:val="TableText"/>
            </w:pPr>
            <w:r>
              <w:t>2–3</w:t>
            </w:r>
          </w:p>
        </w:tc>
        <w:tc>
          <w:tcPr>
            <w:tcW w:type="dxa" w:w="872"/>
            <w:vAlign w:val="center"/>
            <w:tcMar>
              <w:top w:w="55" w:type="dxa"/>
              <w:bottom w:w="55" w:type="dxa"/>
              <w:left w:w="75" w:type="dxa"/>
              <w:right w:w="75" w:type="dxa"/>
            </w:tcMar>
            <w:shd w:fill="F2F6F8"/>
          </w:tcPr>
          <w:p>
            <w:pPr>
              <w:pStyle w:val="TableText"/>
            </w:pPr>
            <w:r>
              <w:t>3</w:t>
            </w:r>
          </w:p>
        </w:tc>
        <w:tc>
          <w:tcPr>
            <w:tcW w:type="dxa" w:w="1066"/>
            <w:vAlign w:val="center"/>
            <w:tcMar>
              <w:top w:w="55" w:type="dxa"/>
              <w:bottom w:w="55" w:type="dxa"/>
              <w:left w:w="75" w:type="dxa"/>
              <w:right w:w="75" w:type="dxa"/>
            </w:tcMar>
            <w:shd w:fill="F2F6F8"/>
          </w:tcPr>
          <w:p>
            <w:pPr>
              <w:pStyle w:val="TableText"/>
            </w:pPr>
            <w:r>
              <w:t>3</w:t>
            </w:r>
          </w:p>
        </w:tc>
        <w:tc>
          <w:tcPr>
            <w:tcW w:type="dxa" w:w="969"/>
            <w:vAlign w:val="center"/>
            <w:tcMar>
              <w:top w:w="55" w:type="dxa"/>
              <w:bottom w:w="55" w:type="dxa"/>
              <w:left w:w="75" w:type="dxa"/>
              <w:right w:w="75" w:type="dxa"/>
            </w:tcMar>
            <w:shd w:fill="F2F6F8"/>
          </w:tcPr>
          <w:p>
            <w:pPr>
              <w:pStyle w:val="TableText"/>
            </w:pPr>
            <w:r>
              <w:t>4</w:t>
            </w:r>
          </w:p>
        </w:tc>
        <w:tc>
          <w:tcPr>
            <w:tcW w:type="dxa" w:w="2908"/>
            <w:vAlign w:val="center"/>
            <w:tcMar>
              <w:top w:w="55" w:type="dxa"/>
              <w:bottom w:w="55" w:type="dxa"/>
              <w:left w:w="75" w:type="dxa"/>
              <w:right w:w="75" w:type="dxa"/>
            </w:tcMar>
            <w:shd w:fill="F2F6F8"/>
          </w:tcPr>
          <w:p>
            <w:pPr>
              <w:pStyle w:val="TableText"/>
            </w:pPr>
            <w:r>
              <w:t>P2</w:t>
            </w:r>
          </w:p>
        </w:tc>
      </w:tr>
      <w:tr>
        <w:trPr>
          <w:cantSplit/>
        </w:trPr>
        <w:tc>
          <w:tcPr>
            <w:tcW w:type="dxa" w:w="2908"/>
            <w:vAlign w:val="center"/>
            <w:tcMar>
              <w:top w:w="55" w:type="dxa"/>
              <w:bottom w:w="55" w:type="dxa"/>
              <w:left w:w="75" w:type="dxa"/>
              <w:right w:w="75" w:type="dxa"/>
            </w:tcMar>
            <w:shd w:fill="FFFFFF"/>
          </w:tcPr>
          <w:p>
            <w:pPr>
              <w:pStyle w:val="TableText"/>
            </w:pPr>
            <w:r>
              <w:t>成交活跃度加权</w:t>
            </w:r>
          </w:p>
        </w:tc>
        <w:tc>
          <w:tcPr>
            <w:tcW w:type="dxa" w:w="969"/>
            <w:vAlign w:val="center"/>
            <w:tcMar>
              <w:top w:w="55" w:type="dxa"/>
              <w:bottom w:w="55" w:type="dxa"/>
              <w:left w:w="75" w:type="dxa"/>
              <w:right w:w="75" w:type="dxa"/>
            </w:tcMar>
            <w:shd w:fill="FFFFFF"/>
          </w:tcPr>
          <w:p>
            <w:pPr>
              <w:pStyle w:val="TableText"/>
            </w:pPr>
            <w:r>
              <w:t>2</w:t>
            </w:r>
          </w:p>
        </w:tc>
        <w:tc>
          <w:tcPr>
            <w:tcW w:type="dxa" w:w="872"/>
            <w:vAlign w:val="center"/>
            <w:tcMar>
              <w:top w:w="55" w:type="dxa"/>
              <w:bottom w:w="55" w:type="dxa"/>
              <w:left w:w="75" w:type="dxa"/>
              <w:right w:w="75" w:type="dxa"/>
            </w:tcMar>
            <w:shd w:fill="FFFFFF"/>
          </w:tcPr>
          <w:p>
            <w:pPr>
              <w:pStyle w:val="TableText"/>
            </w:pPr>
            <w:r>
              <w:t>2</w:t>
            </w:r>
          </w:p>
        </w:tc>
        <w:tc>
          <w:tcPr>
            <w:tcW w:type="dxa" w:w="1066"/>
            <w:vAlign w:val="center"/>
            <w:tcMar>
              <w:top w:w="55" w:type="dxa"/>
              <w:bottom w:w="55" w:type="dxa"/>
              <w:left w:w="75" w:type="dxa"/>
              <w:right w:w="75" w:type="dxa"/>
            </w:tcMar>
            <w:shd w:fill="FFFFFF"/>
          </w:tcPr>
          <w:p>
            <w:pPr>
              <w:pStyle w:val="TableText"/>
            </w:pPr>
            <w:r>
              <w:t>增量低</w:t>
            </w:r>
          </w:p>
        </w:tc>
        <w:tc>
          <w:tcPr>
            <w:tcW w:type="dxa" w:w="969"/>
            <w:vAlign w:val="center"/>
            <w:tcMar>
              <w:top w:w="55" w:type="dxa"/>
              <w:bottom w:w="55" w:type="dxa"/>
              <w:left w:w="75" w:type="dxa"/>
              <w:right w:w="75" w:type="dxa"/>
            </w:tcMar>
            <w:shd w:fill="FFFFFF"/>
          </w:tcPr>
          <w:p>
            <w:pPr>
              <w:pStyle w:val="TableText"/>
            </w:pPr>
            <w:r>
              <w:t>4</w:t>
            </w:r>
          </w:p>
        </w:tc>
        <w:tc>
          <w:tcPr>
            <w:tcW w:type="dxa" w:w="2908"/>
            <w:vAlign w:val="center"/>
            <w:tcMar>
              <w:top w:w="55" w:type="dxa"/>
              <w:bottom w:w="55" w:type="dxa"/>
              <w:left w:w="75" w:type="dxa"/>
              <w:right w:w="75" w:type="dxa"/>
            </w:tcMar>
            <w:shd w:fill="FFFFFF"/>
          </w:tcPr>
          <w:p>
            <w:pPr>
              <w:pStyle w:val="TableText"/>
            </w:pPr>
            <w:r>
              <w:t>P2，小型消融</w:t>
            </w:r>
          </w:p>
        </w:tc>
      </w:tr>
      <w:tr>
        <w:trPr>
          <w:cantSplit/>
        </w:trPr>
        <w:tc>
          <w:tcPr>
            <w:tcW w:type="dxa" w:w="2908"/>
            <w:vAlign w:val="center"/>
            <w:tcMar>
              <w:top w:w="55" w:type="dxa"/>
              <w:bottom w:w="55" w:type="dxa"/>
              <w:left w:w="75" w:type="dxa"/>
              <w:right w:w="75" w:type="dxa"/>
            </w:tcMar>
            <w:shd w:fill="F2F6F8"/>
          </w:tcPr>
          <w:p>
            <w:pPr>
              <w:pStyle w:val="TableText"/>
            </w:pPr>
            <w:r>
              <w:t>横截面排序</w:t>
            </w:r>
          </w:p>
        </w:tc>
        <w:tc>
          <w:tcPr>
            <w:tcW w:type="dxa" w:w="969"/>
            <w:vAlign w:val="center"/>
            <w:tcMar>
              <w:top w:w="55" w:type="dxa"/>
              <w:bottom w:w="55" w:type="dxa"/>
              <w:left w:w="75" w:type="dxa"/>
              <w:right w:w="75" w:type="dxa"/>
            </w:tcMar>
            <w:shd w:fill="F2F6F8"/>
          </w:tcPr>
          <w:p>
            <w:pPr>
              <w:pStyle w:val="TableText"/>
            </w:pPr>
            <w:r>
              <w:t>3</w:t>
            </w:r>
          </w:p>
        </w:tc>
        <w:tc>
          <w:tcPr>
            <w:tcW w:type="dxa" w:w="872"/>
            <w:vAlign w:val="center"/>
            <w:tcMar>
              <w:top w:w="55" w:type="dxa"/>
              <w:bottom w:w="55" w:type="dxa"/>
              <w:left w:w="75" w:type="dxa"/>
              <w:right w:w="75" w:type="dxa"/>
            </w:tcMar>
            <w:shd w:fill="F2F6F8"/>
          </w:tcPr>
          <w:p>
            <w:pPr>
              <w:pStyle w:val="TableText"/>
            </w:pPr>
            <w:r>
              <w:t>3–4</w:t>
            </w:r>
          </w:p>
        </w:tc>
        <w:tc>
          <w:tcPr>
            <w:tcW w:type="dxa" w:w="1066"/>
            <w:vAlign w:val="center"/>
            <w:tcMar>
              <w:top w:w="55" w:type="dxa"/>
              <w:bottom w:w="55" w:type="dxa"/>
              <w:left w:w="75" w:type="dxa"/>
              <w:right w:w="75" w:type="dxa"/>
            </w:tcMar>
            <w:shd w:fill="F2F6F8"/>
          </w:tcPr>
          <w:p>
            <w:pPr>
              <w:pStyle w:val="TableText"/>
            </w:pPr>
            <w:r>
              <w:t>2–3</w:t>
            </w:r>
          </w:p>
        </w:tc>
        <w:tc>
          <w:tcPr>
            <w:tcW w:type="dxa" w:w="969"/>
            <w:vAlign w:val="center"/>
            <w:tcMar>
              <w:top w:w="55" w:type="dxa"/>
              <w:bottom w:w="55" w:type="dxa"/>
              <w:left w:w="75" w:type="dxa"/>
              <w:right w:w="75" w:type="dxa"/>
            </w:tcMar>
            <w:shd w:fill="F2F6F8"/>
          </w:tcPr>
          <w:p>
            <w:pPr>
              <w:pStyle w:val="TableText"/>
            </w:pPr>
            <w:r>
              <w:t>4–5</w:t>
            </w:r>
          </w:p>
        </w:tc>
        <w:tc>
          <w:tcPr>
            <w:tcW w:type="dxa" w:w="2908"/>
            <w:vAlign w:val="center"/>
            <w:tcMar>
              <w:top w:w="55" w:type="dxa"/>
              <w:bottom w:w="55" w:type="dxa"/>
              <w:left w:w="75" w:type="dxa"/>
              <w:right w:w="75" w:type="dxa"/>
            </w:tcMar>
            <w:shd w:fill="F2F6F8"/>
          </w:tcPr>
          <w:p>
            <w:pPr>
              <w:pStyle w:val="TableText"/>
            </w:pPr>
            <w:r>
              <w:t>P2，替代分支</w:t>
            </w:r>
          </w:p>
        </w:tc>
      </w:tr>
      <w:tr>
        <w:trPr>
          <w:cantSplit/>
        </w:trPr>
        <w:tc>
          <w:tcPr>
            <w:tcW w:type="dxa" w:w="2908"/>
            <w:vAlign w:val="center"/>
            <w:tcMar>
              <w:top w:w="55" w:type="dxa"/>
              <w:bottom w:w="55" w:type="dxa"/>
              <w:left w:w="75" w:type="dxa"/>
              <w:right w:w="75" w:type="dxa"/>
            </w:tcMar>
            <w:shd w:fill="FFFFFF"/>
          </w:tcPr>
          <w:p>
            <w:pPr>
              <w:pStyle w:val="TableText"/>
            </w:pPr>
            <w:r>
              <w:t>历史事件条辅助输入</w:t>
            </w:r>
          </w:p>
        </w:tc>
        <w:tc>
          <w:tcPr>
            <w:tcW w:type="dxa" w:w="969"/>
            <w:vAlign w:val="center"/>
            <w:tcMar>
              <w:top w:w="55" w:type="dxa"/>
              <w:bottom w:w="55" w:type="dxa"/>
              <w:left w:w="75" w:type="dxa"/>
              <w:right w:w="75" w:type="dxa"/>
            </w:tcMar>
            <w:shd w:fill="FFFFFF"/>
          </w:tcPr>
          <w:p>
            <w:pPr>
              <w:pStyle w:val="TableText"/>
            </w:pPr>
            <w:r>
              <w:t>3–4</w:t>
            </w:r>
          </w:p>
        </w:tc>
        <w:tc>
          <w:tcPr>
            <w:tcW w:type="dxa" w:w="872"/>
            <w:vAlign w:val="center"/>
            <w:tcMar>
              <w:top w:w="55" w:type="dxa"/>
              <w:bottom w:w="55" w:type="dxa"/>
              <w:left w:w="75" w:type="dxa"/>
              <w:right w:w="75" w:type="dxa"/>
            </w:tcMar>
            <w:shd w:fill="FFFFFF"/>
          </w:tcPr>
          <w:p>
            <w:pPr>
              <w:pStyle w:val="TableText"/>
            </w:pPr>
            <w:r>
              <w:t>4</w:t>
            </w:r>
          </w:p>
        </w:tc>
        <w:tc>
          <w:tcPr>
            <w:tcW w:type="dxa" w:w="1066"/>
            <w:vAlign w:val="center"/>
            <w:tcMar>
              <w:top w:w="55" w:type="dxa"/>
              <w:bottom w:w="55" w:type="dxa"/>
              <w:left w:w="75" w:type="dxa"/>
              <w:right w:w="75" w:type="dxa"/>
            </w:tcMar>
            <w:shd w:fill="FFFFFF"/>
          </w:tcPr>
          <w:p>
            <w:pPr>
              <w:pStyle w:val="TableText"/>
            </w:pPr>
            <w:r>
              <w:t>2–3</w:t>
            </w:r>
          </w:p>
        </w:tc>
        <w:tc>
          <w:tcPr>
            <w:tcW w:type="dxa" w:w="969"/>
            <w:vAlign w:val="center"/>
            <w:tcMar>
              <w:top w:w="55" w:type="dxa"/>
              <w:bottom w:w="55" w:type="dxa"/>
              <w:left w:w="75" w:type="dxa"/>
              <w:right w:w="75" w:type="dxa"/>
            </w:tcMar>
            <w:shd w:fill="FFFFFF"/>
          </w:tcPr>
          <w:p>
            <w:pPr>
              <w:pStyle w:val="TableText"/>
            </w:pPr>
            <w:r>
              <w:t>4</w:t>
            </w:r>
          </w:p>
        </w:tc>
        <w:tc>
          <w:tcPr>
            <w:tcW w:type="dxa" w:w="2908"/>
            <w:vAlign w:val="center"/>
            <w:tcMar>
              <w:top w:w="55" w:type="dxa"/>
              <w:bottom w:w="55" w:type="dxa"/>
              <w:left w:w="75" w:type="dxa"/>
              <w:right w:w="75" w:type="dxa"/>
            </w:tcMar>
            <w:shd w:fill="FFFFFF"/>
          </w:tcPr>
          <w:p>
            <w:pPr>
              <w:pStyle w:val="TableText"/>
            </w:pPr>
            <w:r>
              <w:t>P3</w:t>
            </w:r>
          </w:p>
        </w:tc>
      </w:tr>
      <w:tr>
        <w:trPr>
          <w:cantSplit/>
        </w:trPr>
        <w:tc>
          <w:tcPr>
            <w:tcW w:type="dxa" w:w="2908"/>
            <w:vAlign w:val="center"/>
            <w:tcMar>
              <w:top w:w="55" w:type="dxa"/>
              <w:bottom w:w="55" w:type="dxa"/>
              <w:left w:w="75" w:type="dxa"/>
              <w:right w:w="75" w:type="dxa"/>
            </w:tcMar>
            <w:shd w:fill="F2F6F8"/>
          </w:tcPr>
          <w:p>
            <w:pPr>
              <w:pStyle w:val="TableText"/>
            </w:pPr>
            <w:r>
              <w:t>完整事件时间／双时钟生成</w:t>
            </w:r>
          </w:p>
        </w:tc>
        <w:tc>
          <w:tcPr>
            <w:tcW w:type="dxa" w:w="969"/>
            <w:vAlign w:val="center"/>
            <w:tcMar>
              <w:top w:w="55" w:type="dxa"/>
              <w:bottom w:w="55" w:type="dxa"/>
              <w:left w:w="75" w:type="dxa"/>
              <w:right w:w="75" w:type="dxa"/>
            </w:tcMar>
            <w:shd w:fill="F2F6F8"/>
          </w:tcPr>
          <w:p>
            <w:pPr>
              <w:pStyle w:val="TableText"/>
            </w:pPr>
            <w:r>
              <w:t>4–5</w:t>
            </w:r>
          </w:p>
        </w:tc>
        <w:tc>
          <w:tcPr>
            <w:tcW w:type="dxa" w:w="872"/>
            <w:vAlign w:val="center"/>
            <w:tcMar>
              <w:top w:w="55" w:type="dxa"/>
              <w:bottom w:w="55" w:type="dxa"/>
              <w:left w:w="75" w:type="dxa"/>
              <w:right w:w="75" w:type="dxa"/>
            </w:tcMar>
            <w:shd w:fill="F2F6F8"/>
          </w:tcPr>
          <w:p>
            <w:pPr>
              <w:pStyle w:val="TableText"/>
            </w:pPr>
            <w:r>
              <w:t>4–5</w:t>
            </w:r>
          </w:p>
        </w:tc>
        <w:tc>
          <w:tcPr>
            <w:tcW w:type="dxa" w:w="1066"/>
            <w:vAlign w:val="center"/>
            <w:tcMar>
              <w:top w:w="55" w:type="dxa"/>
              <w:bottom w:w="55" w:type="dxa"/>
              <w:left w:w="75" w:type="dxa"/>
              <w:right w:w="75" w:type="dxa"/>
            </w:tcMar>
            <w:shd w:fill="F2F6F8"/>
          </w:tcPr>
          <w:p>
            <w:pPr>
              <w:pStyle w:val="TableText"/>
            </w:pPr>
            <w:r>
              <w:t>4</w:t>
            </w:r>
          </w:p>
        </w:tc>
        <w:tc>
          <w:tcPr>
            <w:tcW w:type="dxa" w:w="969"/>
            <w:vAlign w:val="center"/>
            <w:tcMar>
              <w:top w:w="55" w:type="dxa"/>
              <w:bottom w:w="55" w:type="dxa"/>
              <w:left w:w="75" w:type="dxa"/>
              <w:right w:w="75" w:type="dxa"/>
            </w:tcMar>
            <w:shd w:fill="F2F6F8"/>
          </w:tcPr>
          <w:p>
            <w:pPr>
              <w:pStyle w:val="TableText"/>
            </w:pPr>
            <w:r>
              <w:t>5</w:t>
            </w:r>
          </w:p>
        </w:tc>
        <w:tc>
          <w:tcPr>
            <w:tcW w:type="dxa" w:w="2908"/>
            <w:vAlign w:val="center"/>
            <w:tcMar>
              <w:top w:w="55" w:type="dxa"/>
              <w:bottom w:w="55" w:type="dxa"/>
              <w:left w:w="75" w:type="dxa"/>
              <w:right w:w="75" w:type="dxa"/>
            </w:tcMar>
            <w:shd w:fill="F2F6F8"/>
          </w:tcPr>
          <w:p>
            <w:pPr>
              <w:pStyle w:val="TableText"/>
            </w:pPr>
            <w:r>
              <w:t>P4</w:t>
            </w:r>
          </w:p>
        </w:tc>
      </w:tr>
      <w:tr>
        <w:trPr>
          <w:cantSplit/>
        </w:trPr>
        <w:tc>
          <w:tcPr>
            <w:tcW w:type="dxa" w:w="2908"/>
            <w:vAlign w:val="center"/>
            <w:tcMar>
              <w:top w:w="55" w:type="dxa"/>
              <w:bottom w:w="55" w:type="dxa"/>
              <w:left w:w="75" w:type="dxa"/>
              <w:right w:w="75" w:type="dxa"/>
            </w:tcMar>
            <w:shd w:fill="FFFFFF"/>
          </w:tcPr>
          <w:p>
            <w:pPr>
              <w:pStyle w:val="TableText"/>
            </w:pPr>
            <w:r>
              <w:t>重编码与 tokenizer 重建</w:t>
            </w:r>
          </w:p>
        </w:tc>
        <w:tc>
          <w:tcPr>
            <w:tcW w:type="dxa" w:w="969"/>
            <w:vAlign w:val="center"/>
            <w:tcMar>
              <w:top w:w="55" w:type="dxa"/>
              <w:bottom w:w="55" w:type="dxa"/>
              <w:left w:w="75" w:type="dxa"/>
              <w:right w:w="75" w:type="dxa"/>
            </w:tcMar>
            <w:shd w:fill="FFFFFF"/>
          </w:tcPr>
          <w:p>
            <w:pPr>
              <w:pStyle w:val="TableText"/>
            </w:pPr>
            <w:r>
              <w:t>4</w:t>
            </w:r>
          </w:p>
        </w:tc>
        <w:tc>
          <w:tcPr>
            <w:tcW w:type="dxa" w:w="872"/>
            <w:vAlign w:val="center"/>
            <w:tcMar>
              <w:top w:w="55" w:type="dxa"/>
              <w:bottom w:w="55" w:type="dxa"/>
              <w:left w:w="75" w:type="dxa"/>
              <w:right w:w="75" w:type="dxa"/>
            </w:tcMar>
            <w:shd w:fill="FFFFFF"/>
          </w:tcPr>
          <w:p>
            <w:pPr>
              <w:pStyle w:val="TableText"/>
            </w:pPr>
            <w:r>
              <w:t>3</w:t>
            </w:r>
          </w:p>
        </w:tc>
        <w:tc>
          <w:tcPr>
            <w:tcW w:type="dxa" w:w="1066"/>
            <w:vAlign w:val="center"/>
            <w:tcMar>
              <w:top w:w="55" w:type="dxa"/>
              <w:bottom w:w="55" w:type="dxa"/>
              <w:left w:w="75" w:type="dxa"/>
              <w:right w:w="75" w:type="dxa"/>
            </w:tcMar>
            <w:shd w:fill="FFFFFF"/>
          </w:tcPr>
          <w:p>
            <w:pPr>
              <w:pStyle w:val="TableText"/>
            </w:pPr>
            <w:r>
              <w:t>4</w:t>
            </w:r>
          </w:p>
        </w:tc>
        <w:tc>
          <w:tcPr>
            <w:tcW w:type="dxa" w:w="969"/>
            <w:vAlign w:val="center"/>
            <w:tcMar>
              <w:top w:w="55" w:type="dxa"/>
              <w:bottom w:w="55" w:type="dxa"/>
              <w:left w:w="75" w:type="dxa"/>
              <w:right w:w="75" w:type="dxa"/>
            </w:tcMar>
            <w:shd w:fill="FFFFFF"/>
          </w:tcPr>
          <w:p>
            <w:pPr>
              <w:pStyle w:val="TableText"/>
            </w:pPr>
            <w:r>
              <w:t>5</w:t>
            </w:r>
          </w:p>
        </w:tc>
        <w:tc>
          <w:tcPr>
            <w:tcW w:type="dxa" w:w="2908"/>
            <w:vAlign w:val="center"/>
            <w:tcMar>
              <w:top w:w="55" w:type="dxa"/>
              <w:bottom w:w="55" w:type="dxa"/>
              <w:left w:w="75" w:type="dxa"/>
              <w:right w:w="75" w:type="dxa"/>
            </w:tcMar>
            <w:shd w:fill="FFFFFF"/>
          </w:tcPr>
          <w:p>
            <w:pPr>
              <w:pStyle w:val="TableText"/>
            </w:pPr>
            <w:r>
              <w:t>P4，有诊断证据后</w:t>
            </w:r>
          </w:p>
        </w:tc>
      </w:tr>
      <w:tr>
        <w:trPr>
          <w:cantSplit/>
        </w:trPr>
        <w:tc>
          <w:tcPr>
            <w:tcW w:type="dxa" w:w="2908"/>
            <w:vAlign w:val="center"/>
            <w:tcMar>
              <w:top w:w="55" w:type="dxa"/>
              <w:bottom w:w="55" w:type="dxa"/>
              <w:left w:w="75" w:type="dxa"/>
              <w:right w:w="75" w:type="dxa"/>
            </w:tcMar>
            <w:shd w:fill="F2F6F8"/>
          </w:tcPr>
          <w:p>
            <w:pPr>
              <w:pStyle w:val="TableText"/>
            </w:pPr>
            <w:r>
              <w:t>从头训练 crypto Kronos</w:t>
            </w:r>
          </w:p>
        </w:tc>
        <w:tc>
          <w:tcPr>
            <w:tcW w:type="dxa" w:w="969"/>
            <w:vAlign w:val="center"/>
            <w:tcMar>
              <w:top w:w="55" w:type="dxa"/>
              <w:bottom w:w="55" w:type="dxa"/>
              <w:left w:w="75" w:type="dxa"/>
              <w:right w:w="75" w:type="dxa"/>
            </w:tcMar>
            <w:shd w:fill="F2F6F8"/>
          </w:tcPr>
          <w:p>
            <w:pPr>
              <w:pStyle w:val="TableText"/>
            </w:pPr>
            <w:r>
              <w:t>4–5</w:t>
            </w:r>
          </w:p>
        </w:tc>
        <w:tc>
          <w:tcPr>
            <w:tcW w:type="dxa" w:w="872"/>
            <w:vAlign w:val="center"/>
            <w:tcMar>
              <w:top w:w="55" w:type="dxa"/>
              <w:bottom w:w="55" w:type="dxa"/>
              <w:left w:w="75" w:type="dxa"/>
              <w:right w:w="75" w:type="dxa"/>
            </w:tcMar>
            <w:shd w:fill="F2F6F8"/>
          </w:tcPr>
          <w:p>
            <w:pPr>
              <w:pStyle w:val="TableText"/>
            </w:pPr>
            <w:r>
              <w:t>4–5</w:t>
            </w:r>
          </w:p>
        </w:tc>
        <w:tc>
          <w:tcPr>
            <w:tcW w:type="dxa" w:w="1066"/>
            <w:vAlign w:val="center"/>
            <w:tcMar>
              <w:top w:w="55" w:type="dxa"/>
              <w:bottom w:w="55" w:type="dxa"/>
              <w:left w:w="75" w:type="dxa"/>
              <w:right w:w="75" w:type="dxa"/>
            </w:tcMar>
            <w:shd w:fill="F2F6F8"/>
          </w:tcPr>
          <w:p>
            <w:pPr>
              <w:pStyle w:val="TableText"/>
            </w:pPr>
            <w:r>
              <w:t>5</w:t>
            </w:r>
          </w:p>
        </w:tc>
        <w:tc>
          <w:tcPr>
            <w:tcW w:type="dxa" w:w="969"/>
            <w:vAlign w:val="center"/>
            <w:tcMar>
              <w:top w:w="55" w:type="dxa"/>
              <w:bottom w:w="55" w:type="dxa"/>
              <w:left w:w="75" w:type="dxa"/>
              <w:right w:w="75" w:type="dxa"/>
            </w:tcMar>
            <w:shd w:fill="F2F6F8"/>
          </w:tcPr>
          <w:p>
            <w:pPr>
              <w:pStyle w:val="TableText"/>
            </w:pPr>
            <w:r>
              <w:t>5</w:t>
            </w:r>
          </w:p>
        </w:tc>
        <w:tc>
          <w:tcPr>
            <w:tcW w:type="dxa" w:w="2908"/>
            <w:vAlign w:val="center"/>
            <w:tcMar>
              <w:top w:w="55" w:type="dxa"/>
              <w:bottom w:w="55" w:type="dxa"/>
              <w:left w:w="75" w:type="dxa"/>
              <w:right w:w="75" w:type="dxa"/>
            </w:tcMar>
            <w:shd w:fill="F2F6F8"/>
          </w:tcPr>
          <w:p>
            <w:pPr>
              <w:pStyle w:val="TableText"/>
            </w:pPr>
            <w:r>
              <w:t>独立架构研究</w:t>
            </w:r>
          </w:p>
        </w:tc>
      </w:tr>
      <w:tr>
        <w:trPr>
          <w:cantSplit/>
        </w:trPr>
        <w:tc>
          <w:tcPr>
            <w:tcW w:type="dxa" w:w="2908"/>
            <w:vAlign w:val="center"/>
            <w:tcMar>
              <w:top w:w="55" w:type="dxa"/>
              <w:bottom w:w="55" w:type="dxa"/>
              <w:left w:w="75" w:type="dxa"/>
              <w:right w:w="75" w:type="dxa"/>
            </w:tcMar>
            <w:shd w:fill="FFFFFF"/>
          </w:tcPr>
          <w:p>
            <w:pPr>
              <w:pStyle w:val="TableText"/>
            </w:pPr>
            <w:r>
              <w:t>受限符号规则／完整自动搜索</w:t>
            </w:r>
          </w:p>
        </w:tc>
        <w:tc>
          <w:tcPr>
            <w:tcW w:type="dxa" w:w="969"/>
            <w:vAlign w:val="center"/>
            <w:tcMar>
              <w:top w:w="55" w:type="dxa"/>
              <w:bottom w:w="55" w:type="dxa"/>
              <w:left w:w="75" w:type="dxa"/>
              <w:right w:w="75" w:type="dxa"/>
            </w:tcMar>
            <w:shd w:fill="FFFFFF"/>
          </w:tcPr>
          <w:p>
            <w:pPr>
              <w:pStyle w:val="TableText"/>
            </w:pPr>
            <w:r>
              <w:t>2–3／4–5</w:t>
            </w:r>
          </w:p>
        </w:tc>
        <w:tc>
          <w:tcPr>
            <w:tcW w:type="dxa" w:w="872"/>
            <w:vAlign w:val="center"/>
            <w:tcMar>
              <w:top w:w="55" w:type="dxa"/>
              <w:bottom w:w="55" w:type="dxa"/>
              <w:left w:w="75" w:type="dxa"/>
              <w:right w:w="75" w:type="dxa"/>
            </w:tcMar>
            <w:shd w:fill="FFFFFF"/>
          </w:tcPr>
          <w:p>
            <w:pPr>
              <w:pStyle w:val="TableText"/>
            </w:pPr>
            <w:r>
              <w:t>2–4</w:t>
            </w:r>
          </w:p>
        </w:tc>
        <w:tc>
          <w:tcPr>
            <w:tcW w:type="dxa" w:w="1066"/>
            <w:vAlign w:val="center"/>
            <w:tcMar>
              <w:top w:w="55" w:type="dxa"/>
              <w:bottom w:w="55" w:type="dxa"/>
              <w:left w:w="75" w:type="dxa"/>
              <w:right w:w="75" w:type="dxa"/>
            </w:tcMar>
            <w:shd w:fill="FFFFFF"/>
          </w:tcPr>
          <w:p>
            <w:pPr>
              <w:pStyle w:val="TableText"/>
            </w:pPr>
            <w:r>
              <w:t>可变</w:t>
            </w:r>
          </w:p>
        </w:tc>
        <w:tc>
          <w:tcPr>
            <w:tcW w:type="dxa" w:w="969"/>
            <w:vAlign w:val="center"/>
            <w:tcMar>
              <w:top w:w="55" w:type="dxa"/>
              <w:bottom w:w="55" w:type="dxa"/>
              <w:left w:w="75" w:type="dxa"/>
              <w:right w:w="75" w:type="dxa"/>
            </w:tcMar>
            <w:shd w:fill="FFFFFF"/>
          </w:tcPr>
          <w:p>
            <w:pPr>
              <w:pStyle w:val="TableText"/>
            </w:pPr>
            <w:r>
              <w:t>5</w:t>
            </w:r>
          </w:p>
        </w:tc>
        <w:tc>
          <w:tcPr>
            <w:tcW w:type="dxa" w:w="2908"/>
            <w:vAlign w:val="center"/>
            <w:tcMar>
              <w:top w:w="55" w:type="dxa"/>
              <w:bottom w:w="55" w:type="dxa"/>
              <w:left w:w="75" w:type="dxa"/>
              <w:right w:w="75" w:type="dxa"/>
            </w:tcMar>
            <w:shd w:fill="FFFFFF"/>
          </w:tcPr>
          <w:p>
            <w:pPr>
              <w:pStyle w:val="TableText"/>
            </w:pPr>
            <w:r>
              <w:t>P3／P4</w:t>
            </w:r>
          </w:p>
        </w:tc>
      </w:tr>
    </w:tbl>
    <w:p>
      <w:pPr>
        <w:spacing w:after="0" w:before="0" w:line="80" w:lineRule="exact"/>
      </w:pPr>
      <w:r>
        <w:rPr>
          <w:sz w:val="4"/>
        </w:rPr>
      </w:r>
    </w:p>
    <w:p>
      <w:pPr>
        <w:pStyle w:val="Heading2"/>
      </w:pPr>
      <w:r>
        <w:t>3.2 不应按“从上到下全做”理解</w:t>
      </w:r>
    </w:p>
    <w:p>
      <w:r>
        <w:t>P0 是共同起点；后续是条件分支。表征有增益但任务不匹配，可继续研究预测头。状态数据有增益而 Kronos 无增益，可以保留数据模块、删除骨干。量化前有信息、量化后没有，才进一步研究 tokenizer。事件时间在统一任务上有增益，才考虑双时钟。</w:t>
      </w:r>
    </w:p>
    <w:p>
      <w:r>
        <w:t>建议先设定一个有限实验预算。示例是最多三种读出器、两个预先指定的标签、少数随机种子；数值可以调整，但必须在观察结果前记录。反复追加配置本身也属于搜索，应计入试验总量。</w:t>
      </w:r>
    </w:p>
    <w:p>
      <w:pPr>
        <w:pStyle w:val="Heading2"/>
      </w:pPr>
      <w:r>
        <w:t>3.3 资源投入应当如何估算</w:t>
      </w:r>
    </w:p>
    <w:p>
      <w:r>
        <w:t>先用小批量测量峰值显存、每秒窗口数、数据读取占比和缓存体积，再推算全实验成本。不要根据参数量直接承诺训练天数；激活、上下文长度、精度、tokenizer 前向和数据管线都可能成为瓶颈。</w:t>
      </w:r>
    </w:p>
    <w:p>
      <w:r>
        <w:t>冻结骨干时，预先提取末端表征通常比每轮训练重复运行骨干节省资源。但缓存的可复用范围取决于 checkpoint、窗口定义和标准化，不能为了速度混用不同折的特征。第 14 章给出缓存约束。</w:t>
      </w:r>
    </w:p>
    <w:p>
      <w:pPr>
        <w:pStyle w:val="Heading1"/>
      </w:pPr>
      <w:bookmarkStart w:id="5" w:name="sec4"/>
      <w:r>
        <w:t>04 统一研究问题与最小实验系统</w:t>
      </w:r>
      <w:bookmarkEnd w:id="5"/>
    </w:p>
    <w:p>
      <w:pPr>
        <w:pStyle w:val="Heading2"/>
      </w:pPr>
      <w:r>
        <w:t>4.1 先固定问题，而不是固定复杂架构</w:t>
      </w:r>
    </w:p>
    <w:p>
      <w:r>
        <w:t>第一轮选择一个交易场景、一种基本频率、一个主要预测持有期和一套历史币种池规则。作为工程起点，可使用固定时间条和固定持有期；这只是控制变量，不代表它们最赚钱。</w:t>
      </w:r>
    </w:p>
    <w:p>
      <w:r>
        <w:t>明确信号在何时可用、何时最早成交。若输入包含某根 K 线的收盘价与最终成交量，就必须等该根完成并收到数据后才能产生信号。回测不能同时假定以已经知道的同一收盘价无延迟成交。</w:t>
      </w:r>
    </w:p>
    <w:p>
      <w:pPr>
        <w:pStyle w:val="Heading2"/>
      </w:pPr>
      <w:r>
        <w:t>4.2 最小系统的职责分离</w:t>
      </w:r>
    </w:p>
    <w:p>
      <w:r>
        <w:t>建议系统分为数据快照、因果特征、Kronos 编码器、读出器、策略规则、成本与组合回测、实验登记七个模块。第一版策略规则固定，模型主要回答一个窄问题。这样可以分别替换编码器或预测头，而不改变执行逻辑。</w:t>
      </w:r>
    </w:p>
    <w:p>
      <w:pPr>
        <w:keepLines/>
        <w:spacing w:before="100" w:after="180" w:line="264" w:lineRule="auto"/>
        <w:jc w:val="center"/>
      </w:pPr>
      <m:oMathPara>
        <m:oMathParaPr>
          <m:jc m:val="center"/>
        </m:oMathParaPr>
        <m:oMath>
          <m:sSub>
            <m:e>
              <m:r>
                <m:t>z</m:t>
              </m:r>
            </m:e>
            <m:sub>
              <m:r>
                <m:t>t</m:t>
              </m:r>
            </m:sub>
          </m:sSub>
          <m:r>
            <m:rPr>
              <m:sty m:val="p"/>
            </m:rPr>
            <m:t>=</m:t>
          </m:r>
          <m:sSub>
            <m:e>
              <m:r>
                <m:t>f</m:t>
              </m:r>
            </m:e>
            <m:sub>
              <m:r>
                <m:t>θ</m:t>
              </m:r>
            </m:sub>
          </m:sSub>
          <m:d>
            <m:dPr>
              <m:begChr m:val="("/>
              <m:endChr m:val=")"/>
              <m:sepChr m:val=""/>
              <m:grow/>
            </m:dPr>
            <m:e>
              <m:sSub>
                <m:e>
                  <m:r>
                    <m:t>X</m:t>
                  </m:r>
                </m:e>
                <m:sub>
                  <m:r>
                    <m:rPr>
                      <m:sty m:val="p"/>
                    </m:rPr>
                    <m:t>≤</m:t>
                  </m:r>
                  <m:r>
                    <m:t>t</m:t>
                  </m:r>
                </m:sub>
              </m:sSub>
            </m:e>
          </m:d>
          <m:r>
            <m:rPr>
              <m:sty m:val="p"/>
            </m:rPr>
            <m:t>,</m:t>
          </m:r>
          <m:r>
            <m:t>  </m:t>
          </m:r>
          <m:sSub>
            <m:e>
              <m:acc>
                <m:accPr>
                  <m:chr m:val="̂"/>
                </m:accPr>
                <m:e>
                  <m:r>
                    <m:t>y</m:t>
                  </m:r>
                </m:e>
              </m:acc>
            </m:e>
            <m:sub>
              <m:r>
                <m:t>t</m:t>
              </m:r>
            </m:sub>
          </m:sSub>
          <m:r>
            <m:rPr>
              <m:sty m:val="p"/>
            </m:rPr>
            <m:t>=</m:t>
          </m:r>
          <m:sSub>
            <m:e>
              <m:r>
                <m:t>g</m:t>
              </m:r>
            </m:e>
            <m:sub>
              <m:r>
                <m:t>ϕ</m:t>
              </m:r>
            </m:sub>
          </m:sSub>
          <m:d>
            <m:dPr>
              <m:begChr m:val="("/>
              <m:endChr m:val=")"/>
              <m:sepChr m:val=""/>
              <m:grow/>
            </m:dPr>
            <m:e>
              <m:sSub>
                <m:e>
                  <m:r>
                    <m:t>b</m:t>
                  </m:r>
                </m:e>
                <m:sub>
                  <m:r>
                    <m:t>t</m:t>
                  </m:r>
                </m:sub>
              </m:sSub>
              <m:r>
                <m:rPr>
                  <m:sty m:val="p"/>
                </m:rPr>
                <m:t>,</m:t>
              </m:r>
              <m:sSub>
                <m:e>
                  <m:r>
                    <m:t>z</m:t>
                  </m:r>
                </m:e>
                <m:sub>
                  <m:r>
                    <m:t>t</m:t>
                  </m:r>
                </m:sub>
              </m:sSub>
              <m:r>
                <m:rPr>
                  <m:sty m:val="p"/>
                </m:rPr>
                <m:t>,</m:t>
              </m:r>
              <m:sSub>
                <m:e>
                  <m:r>
                    <m:t>q</m:t>
                  </m:r>
                </m:e>
                <m:sub>
                  <m:r>
                    <m:t>t</m:t>
                  </m:r>
                </m:sub>
              </m:sSub>
            </m:e>
          </m:d>
        </m:oMath>
      </m:oMathPara>
    </w:p>
    <w:p>
      <w:r>
        <w:t>其中 b 为普通价量特征，q 为可选外部状态。数据不可得时 q 分支应关闭，而不是用不可信补值假装齐全。</w:t>
      </w:r>
    </w:p>
    <w:p>
      <w:pPr>
        <w:pStyle w:val="Heading2"/>
      </w:pPr>
      <w:r>
        <w:t>4.3 一套必须保留的基线</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327"/>
        <w:gridCol w:w="3781"/>
        <w:gridCol w:w="3587"/>
      </w:tblGrid>
      <w:tr>
        <w:trPr>
          <w:cantSplit/>
          <w:tblHeader/>
        </w:trPr>
        <w:tc>
          <w:tcPr>
            <w:tcW w:type="dxa" w:w="2327"/>
            <w:vAlign w:val="center"/>
            <w:tcMar>
              <w:top w:w="55" w:type="dxa"/>
              <w:bottom w:w="55" w:type="dxa"/>
              <w:left w:w="75" w:type="dxa"/>
              <w:right w:w="75" w:type="dxa"/>
            </w:tcMar>
            <w:shd w:fill="173444"/>
          </w:tcPr>
          <w:p>
            <w:pPr>
              <w:pStyle w:val="TableText"/>
              <w:keepNext/>
            </w:pPr>
            <w:r>
              <w:rPr>
                <w:b/>
                <w:color w:val="FFFFFF"/>
                <w:sz w:val="18"/>
              </w:rPr>
              <w:t>编号</w:t>
            </w:r>
          </w:p>
        </w:tc>
        <w:tc>
          <w:tcPr>
            <w:tcW w:type="dxa" w:w="3781"/>
            <w:vAlign w:val="center"/>
            <w:tcMar>
              <w:top w:w="55" w:type="dxa"/>
              <w:bottom w:w="55" w:type="dxa"/>
              <w:left w:w="75" w:type="dxa"/>
              <w:right w:w="75" w:type="dxa"/>
            </w:tcMar>
            <w:shd w:fill="173444"/>
          </w:tcPr>
          <w:p>
            <w:pPr>
              <w:pStyle w:val="TableText"/>
              <w:keepNext/>
            </w:pPr>
            <w:r>
              <w:rPr>
                <w:b/>
                <w:color w:val="FFFFFF"/>
                <w:sz w:val="18"/>
              </w:rPr>
              <w:t>模型／规则</w:t>
            </w:r>
          </w:p>
        </w:tc>
        <w:tc>
          <w:tcPr>
            <w:tcW w:type="dxa" w:w="3587"/>
            <w:vAlign w:val="center"/>
            <w:tcMar>
              <w:top w:w="55" w:type="dxa"/>
              <w:bottom w:w="55" w:type="dxa"/>
              <w:left w:w="75" w:type="dxa"/>
              <w:right w:w="75" w:type="dxa"/>
            </w:tcMar>
            <w:shd w:fill="173444"/>
          </w:tcPr>
          <w:p>
            <w:pPr>
              <w:pStyle w:val="TableText"/>
              <w:keepNext/>
            </w:pPr>
            <w:r>
              <w:rPr>
                <w:b/>
                <w:color w:val="FFFFFF"/>
                <w:sz w:val="18"/>
              </w:rPr>
              <w:t>主要回答的问题</w:t>
            </w:r>
          </w:p>
        </w:tc>
      </w:tr>
      <w:tr>
        <w:trPr>
          <w:cantSplit/>
        </w:trPr>
        <w:tc>
          <w:tcPr>
            <w:tcW w:type="dxa" w:w="2327"/>
            <w:vAlign w:val="center"/>
            <w:tcMar>
              <w:top w:w="55" w:type="dxa"/>
              <w:bottom w:w="55" w:type="dxa"/>
              <w:left w:w="75" w:type="dxa"/>
              <w:right w:w="75" w:type="dxa"/>
            </w:tcMar>
            <w:shd w:fill="FFFFFF"/>
          </w:tcPr>
          <w:p>
            <w:pPr>
              <w:pStyle w:val="TableText"/>
            </w:pPr>
            <w:r>
              <w:t>B0</w:t>
            </w:r>
          </w:p>
        </w:tc>
        <w:tc>
          <w:tcPr>
            <w:tcW w:type="dxa" w:w="3781"/>
            <w:vAlign w:val="center"/>
            <w:tcMar>
              <w:top w:w="55" w:type="dxa"/>
              <w:bottom w:w="55" w:type="dxa"/>
              <w:left w:w="75" w:type="dxa"/>
              <w:right w:w="75" w:type="dxa"/>
            </w:tcMar>
            <w:shd w:fill="FFFFFF"/>
          </w:tcPr>
          <w:p>
            <w:pPr>
              <w:pStyle w:val="TableText"/>
            </w:pPr>
            <w:r>
              <w:t>不交易、简单持有、固定动量规则</w:t>
            </w:r>
          </w:p>
        </w:tc>
        <w:tc>
          <w:tcPr>
            <w:tcW w:type="dxa" w:w="3587"/>
            <w:vAlign w:val="center"/>
            <w:tcMar>
              <w:top w:w="55" w:type="dxa"/>
              <w:bottom w:w="55" w:type="dxa"/>
              <w:left w:w="75" w:type="dxa"/>
              <w:right w:w="75" w:type="dxa"/>
            </w:tcMar>
            <w:shd w:fill="FFFFFF"/>
          </w:tcPr>
          <w:p>
            <w:pPr>
              <w:pStyle w:val="TableText"/>
            </w:pPr>
            <w:r>
              <w:t>策略是否只是市场暴露或参数选择</w:t>
            </w:r>
          </w:p>
        </w:tc>
      </w:tr>
      <w:tr>
        <w:trPr>
          <w:cantSplit/>
        </w:trPr>
        <w:tc>
          <w:tcPr>
            <w:tcW w:type="dxa" w:w="2327"/>
            <w:vAlign w:val="center"/>
            <w:tcMar>
              <w:top w:w="55" w:type="dxa"/>
              <w:bottom w:w="55" w:type="dxa"/>
              <w:left w:w="75" w:type="dxa"/>
              <w:right w:w="75" w:type="dxa"/>
            </w:tcMar>
            <w:shd w:fill="F2F6F8"/>
          </w:tcPr>
          <w:p>
            <w:pPr>
              <w:pStyle w:val="TableText"/>
            </w:pPr>
            <w:r>
              <w:t>B1</w:t>
            </w:r>
          </w:p>
        </w:tc>
        <w:tc>
          <w:tcPr>
            <w:tcW w:type="dxa" w:w="3781"/>
            <w:vAlign w:val="center"/>
            <w:tcMar>
              <w:top w:w="55" w:type="dxa"/>
              <w:bottom w:w="55" w:type="dxa"/>
              <w:left w:w="75" w:type="dxa"/>
              <w:right w:w="75" w:type="dxa"/>
            </w:tcMar>
            <w:shd w:fill="F2F6F8"/>
          </w:tcPr>
          <w:p>
            <w:pPr>
              <w:pStyle w:val="TableText"/>
            </w:pPr>
            <w:r>
              <w:t>普通特征 + 正则化线性读出器</w:t>
            </w:r>
          </w:p>
        </w:tc>
        <w:tc>
          <w:tcPr>
            <w:tcW w:type="dxa" w:w="3587"/>
            <w:vAlign w:val="center"/>
            <w:tcMar>
              <w:top w:w="55" w:type="dxa"/>
              <w:bottom w:w="55" w:type="dxa"/>
              <w:left w:w="75" w:type="dxa"/>
              <w:right w:w="75" w:type="dxa"/>
            </w:tcMar>
            <w:shd w:fill="F2F6F8"/>
          </w:tcPr>
          <w:p>
            <w:pPr>
              <w:pStyle w:val="TableText"/>
            </w:pPr>
            <w:r>
              <w:t>低成本信息是否已足够</w:t>
            </w:r>
          </w:p>
        </w:tc>
      </w:tr>
      <w:tr>
        <w:trPr>
          <w:cantSplit/>
        </w:trPr>
        <w:tc>
          <w:tcPr>
            <w:tcW w:type="dxa" w:w="2327"/>
            <w:vAlign w:val="center"/>
            <w:tcMar>
              <w:top w:w="55" w:type="dxa"/>
              <w:bottom w:w="55" w:type="dxa"/>
              <w:left w:w="75" w:type="dxa"/>
              <w:right w:w="75" w:type="dxa"/>
            </w:tcMar>
            <w:shd w:fill="FFFFFF"/>
          </w:tcPr>
          <w:p>
            <w:pPr>
              <w:pStyle w:val="TableText"/>
            </w:pPr>
            <w:r>
              <w:t>B2</w:t>
            </w:r>
          </w:p>
        </w:tc>
        <w:tc>
          <w:tcPr>
            <w:tcW w:type="dxa" w:w="3781"/>
            <w:vAlign w:val="center"/>
            <w:tcMar>
              <w:top w:w="55" w:type="dxa"/>
              <w:bottom w:w="55" w:type="dxa"/>
              <w:left w:w="75" w:type="dxa"/>
              <w:right w:w="75" w:type="dxa"/>
            </w:tcMar>
            <w:shd w:fill="FFFFFF"/>
          </w:tcPr>
          <w:p>
            <w:pPr>
              <w:pStyle w:val="TableText"/>
            </w:pPr>
            <w:r>
              <w:t>普通特征 + 小型非线性模型</w:t>
            </w:r>
          </w:p>
        </w:tc>
        <w:tc>
          <w:tcPr>
            <w:tcW w:type="dxa" w:w="3587"/>
            <w:vAlign w:val="center"/>
            <w:tcMar>
              <w:top w:w="55" w:type="dxa"/>
              <w:bottom w:w="55" w:type="dxa"/>
              <w:left w:w="75" w:type="dxa"/>
              <w:right w:w="75" w:type="dxa"/>
            </w:tcMar>
            <w:shd w:fill="FFFFFF"/>
          </w:tcPr>
          <w:p>
            <w:pPr>
              <w:pStyle w:val="TableText"/>
            </w:pPr>
            <w:r>
              <w:t>是否只需简单非线性</w:t>
            </w:r>
          </w:p>
        </w:tc>
      </w:tr>
      <w:tr>
        <w:trPr>
          <w:cantSplit/>
        </w:trPr>
        <w:tc>
          <w:tcPr>
            <w:tcW w:type="dxa" w:w="2327"/>
            <w:vAlign w:val="center"/>
            <w:tcMar>
              <w:top w:w="55" w:type="dxa"/>
              <w:bottom w:w="55" w:type="dxa"/>
              <w:left w:w="75" w:type="dxa"/>
              <w:right w:w="75" w:type="dxa"/>
            </w:tcMar>
            <w:shd w:fill="F2F6F8"/>
          </w:tcPr>
          <w:p>
            <w:pPr>
              <w:pStyle w:val="TableText"/>
            </w:pPr>
            <w:r>
              <w:t>B3</w:t>
            </w:r>
          </w:p>
        </w:tc>
        <w:tc>
          <w:tcPr>
            <w:tcW w:type="dxa" w:w="3781"/>
            <w:vAlign w:val="center"/>
            <w:tcMar>
              <w:top w:w="55" w:type="dxa"/>
              <w:bottom w:w="55" w:type="dxa"/>
              <w:left w:w="75" w:type="dxa"/>
              <w:right w:w="75" w:type="dxa"/>
            </w:tcMar>
            <w:shd w:fill="F2F6F8"/>
          </w:tcPr>
          <w:p>
            <w:pPr>
              <w:pStyle w:val="TableText"/>
            </w:pPr>
            <w:r>
              <w:t>普通特征 + Kronos 表征 + 同类读出器</w:t>
            </w:r>
          </w:p>
        </w:tc>
        <w:tc>
          <w:tcPr>
            <w:tcW w:type="dxa" w:w="3587"/>
            <w:vAlign w:val="center"/>
            <w:tcMar>
              <w:top w:w="55" w:type="dxa"/>
              <w:bottom w:w="55" w:type="dxa"/>
              <w:left w:w="75" w:type="dxa"/>
              <w:right w:w="75" w:type="dxa"/>
            </w:tcMar>
            <w:shd w:fill="F2F6F8"/>
          </w:tcPr>
          <w:p>
            <w:pPr>
              <w:pStyle w:val="TableText"/>
            </w:pPr>
            <w:r>
              <w:t>Kronos 是否提供增量</w:t>
            </w:r>
          </w:p>
        </w:tc>
      </w:tr>
      <w:tr>
        <w:trPr>
          <w:cantSplit/>
        </w:trPr>
        <w:tc>
          <w:tcPr>
            <w:tcW w:type="dxa" w:w="2327"/>
            <w:vAlign w:val="center"/>
            <w:tcMar>
              <w:top w:w="55" w:type="dxa"/>
              <w:bottom w:w="55" w:type="dxa"/>
              <w:left w:w="75" w:type="dxa"/>
              <w:right w:w="75" w:type="dxa"/>
            </w:tcMar>
            <w:shd w:fill="FFFFFF"/>
          </w:tcPr>
          <w:p>
            <w:pPr>
              <w:pStyle w:val="TableText"/>
            </w:pPr>
            <w:r>
              <w:t>B4</w:t>
            </w:r>
          </w:p>
        </w:tc>
        <w:tc>
          <w:tcPr>
            <w:tcW w:type="dxa" w:w="3781"/>
            <w:vAlign w:val="center"/>
            <w:tcMar>
              <w:top w:w="55" w:type="dxa"/>
              <w:bottom w:w="55" w:type="dxa"/>
              <w:left w:w="75" w:type="dxa"/>
              <w:right w:w="75" w:type="dxa"/>
            </w:tcMar>
            <w:shd w:fill="FFFFFF"/>
          </w:tcPr>
          <w:p>
            <w:pPr>
              <w:pStyle w:val="TableText"/>
            </w:pPr>
            <w:r>
              <w:t>随机冻结骨干 + 同类读出器</w:t>
            </w:r>
          </w:p>
        </w:tc>
        <w:tc>
          <w:tcPr>
            <w:tcW w:type="dxa" w:w="3587"/>
            <w:vAlign w:val="center"/>
            <w:tcMar>
              <w:top w:w="55" w:type="dxa"/>
              <w:bottom w:w="55" w:type="dxa"/>
              <w:left w:w="75" w:type="dxa"/>
              <w:right w:w="75" w:type="dxa"/>
            </w:tcMar>
            <w:shd w:fill="FFFFFF"/>
          </w:tcPr>
          <w:p>
            <w:pPr>
              <w:pStyle w:val="TableText"/>
            </w:pPr>
            <w:r>
              <w:t>预训练是否优于随机高维展开</w:t>
            </w:r>
          </w:p>
        </w:tc>
      </w:tr>
      <w:tr>
        <w:trPr>
          <w:cantSplit/>
        </w:trPr>
        <w:tc>
          <w:tcPr>
            <w:tcW w:type="dxa" w:w="2327"/>
            <w:vAlign w:val="center"/>
            <w:tcMar>
              <w:top w:w="55" w:type="dxa"/>
              <w:bottom w:w="55" w:type="dxa"/>
              <w:left w:w="75" w:type="dxa"/>
              <w:right w:w="75" w:type="dxa"/>
            </w:tcMar>
            <w:shd w:fill="F2F6F8"/>
          </w:tcPr>
          <w:p>
            <w:pPr>
              <w:pStyle w:val="TableText"/>
            </w:pPr>
            <w:r>
              <w:t>B5</w:t>
            </w:r>
          </w:p>
        </w:tc>
        <w:tc>
          <w:tcPr>
            <w:tcW w:type="dxa" w:w="3781"/>
            <w:vAlign w:val="center"/>
            <w:tcMar>
              <w:top w:w="55" w:type="dxa"/>
              <w:bottom w:w="55" w:type="dxa"/>
              <w:left w:w="75" w:type="dxa"/>
              <w:right w:w="75" w:type="dxa"/>
            </w:tcMar>
            <w:shd w:fill="F2F6F8"/>
          </w:tcPr>
          <w:p>
            <w:pPr>
              <w:pStyle w:val="TableText"/>
            </w:pPr>
            <w:r>
              <w:t>资源可比的小型时序模型</w:t>
            </w:r>
          </w:p>
        </w:tc>
        <w:tc>
          <w:tcPr>
            <w:tcW w:type="dxa" w:w="3587"/>
            <w:vAlign w:val="center"/>
            <w:tcMar>
              <w:top w:w="55" w:type="dxa"/>
              <w:bottom w:w="55" w:type="dxa"/>
              <w:left w:w="75" w:type="dxa"/>
              <w:right w:w="75" w:type="dxa"/>
            </w:tcMar>
            <w:shd w:fill="F2F6F8"/>
          </w:tcPr>
          <w:p>
            <w:pPr>
              <w:pStyle w:val="TableText"/>
            </w:pPr>
            <w:r>
              <w:t>是否真正需要这个骨干</w:t>
            </w:r>
          </w:p>
        </w:tc>
      </w:tr>
    </w:tbl>
    <w:p>
      <w:pPr>
        <w:spacing w:after="0" w:before="0" w:line="80" w:lineRule="exact"/>
      </w:pPr>
      <w:r>
        <w:rPr>
          <w:sz w:val="4"/>
        </w:rPr>
      </w:r>
    </w:p>
    <w:p>
      <w:r>
        <w:t>B4 保留原 tokenizer 时，只检验自回归骨干预训练的价值；并没有消除 tokenizer 的预训练信息。随机骨干同样可能保留部分输入结构，因此它是消融对照，不是“完全无信息”的对照。</w:t>
      </w:r>
    </w:p>
    <w:p>
      <w:r>
        <w:t>同一实验中尽量保持币种池、目标、时间切分、特征时点、预测头容量和调参预算一致。预训练模型有不同历史数据来源，报告时应说明，不能把“相同输入字段”写成完全相同的数据预算。</w:t>
      </w:r>
    </w:p>
    <w:p>
      <w:pPr>
        <w:pStyle w:val="Heading1"/>
      </w:pPr>
      <w:bookmarkStart w:id="6" w:name="sec5"/>
      <w:r>
        <w:t>05 冻结表征与量化瓶颈诊断</w:t>
      </w:r>
      <w:bookmarkEnd w:id="6"/>
    </w:p>
    <w:p>
      <w:pPr>
        <w:pStyle w:val="Heading2"/>
      </w:pPr>
      <w:r>
        <w:t>5.1 为什么这是第一项实验</w:t>
      </w:r>
    </w:p>
    <w:p>
      <w:r>
        <w:t>冻结骨干可直接检验预训练是否把价量历史组织成更容易读取的表示。它绕开多步生成、采样温度和路径均值问题；失败时也能帮助判断是否值得继续训练。工程难度 1–2／5，主要负担在特征缓存与公平验证。</w:t>
      </w:r>
    </w:p>
    <w:p>
      <w:r>
        <w:t xml:space="preserve">实现入口是 </w:t>
      </w:r>
      <w:r>
        <w:rPr>
          <w:rFonts w:ascii="Carlito" w:hAnsi="Carlito" w:eastAsia="Noto Sans CJK SC"/>
          <w:color w:val="167A86"/>
        </w:rPr>
        <w:t>decode_s1()</w:t>
      </w:r>
      <w:r>
        <w:t xml:space="preserve"> 返回的 </w:t>
      </w:r>
      <w:r>
        <w:rPr>
          <w:rFonts w:ascii="Carlito" w:hAnsi="Carlito" w:eastAsia="Noto Sans CJK SC"/>
          <w:color w:val="167A86"/>
        </w:rPr>
        <w:t>context</w:t>
      </w:r>
      <w:r>
        <w:t>。最小读出取最后一个有效历史位置，而非把整段输出直接当作不同历史时点的实时特征。</w:t>
      </w:r>
      <w:hyperlink w:anchor="ref03">
        <w:r>
          <w:rPr>
            <w:color w:val="167A86"/>
            <w:rFonts w:ascii="Carlito" w:hAnsi="Carlito" w:eastAsia="Noto Sans CJK SC"/>
            <w:sz w:val="19"/>
          </w:rPr>
          <w:t>[03]</w:t>
        </w:r>
      </w:hyperlink>
    </w:p>
    <w:p>
      <w:pPr>
        <w:pStyle w:val="Heading2"/>
      </w:pPr>
      <w:r>
        <w:t>5.2 实施步骤</w:t>
      </w:r>
    </w:p>
    <w:p>
      <w:r>
        <w:rPr>
          <w:b/>
        </w:rPr>
        <w:t>第一步：固定 checkpoint 和输入契约。</w:t>
      </w:r>
      <w:r>
        <w:t xml:space="preserve"> 记录 OHLCVA 通道顺序、上下文长度、时区、窗口边界、缺失处理、截断值和标准化版本。成交额优先使用可信原始字段；近似生成时必须标注来源。</w:t>
      </w:r>
    </w:p>
    <w:p>
      <w:r>
        <w:rPr>
          <w:b/>
        </w:rPr>
        <w:t>第二步：以决策时点为单位生成窗口。</w:t>
      </w:r>
      <w:r>
        <w:t xml:space="preserve"> 只使用该时点已知的历史，按与推理一致的方法标准化。将 tokenizer 和主干明确设为评估模式，关闭梯度，提取末端表征。</w:t>
      </w:r>
    </w:p>
    <w:p>
      <w:r>
        <w:rPr>
          <w:b/>
        </w:rPr>
        <w:t>第三步：先做单一读出，再做有限升级。</w:t>
      </w:r>
      <w:r>
        <w:t xml:space="preserve"> 从 Ridge／带正则化的线性分类器开始；不足时再尝试小 MLP 或树模型。降维、缩放、缺失填补均仅在训练折拟合，不得先在全数据上训练 PCA。</w:t>
      </w:r>
    </w:p>
    <w:p>
      <w:r>
        <w:rPr>
          <w:b/>
        </w:rPr>
        <w:t>第四步：比较“普通特征”与“普通特征 + 表征”。</w:t>
      </w:r>
      <w:r>
        <w:t xml:space="preserve"> 只比较表征模型和随机猜测是不够的。Kronos 可能仅仅重新编码了波动或动量，必须检查它是否超越已经显式提供的这些信息。</w:t>
      </w:r>
    </w:p>
    <w:p>
      <w:pPr>
        <w:pStyle w:val="Heading2"/>
      </w:pPr>
      <w:r>
        <w:t>5.3 最容易被忽略的缓存问题</w:t>
      </w:r>
    </w:p>
    <w:p>
      <w:r>
        <w:t>窗口标准化会使同一根历史 K 线在不同预测窗口中获得不同数值，因而其 token／hidden state 也可能不同。不能将全历史只编码一次，然后把每个位置的 hidden state 都当成当时可得的实时特征。</w:t>
      </w:r>
    </w:p>
    <w:p>
      <w:r>
        <w:t>正确做法是按固定预测原点计算，或者设计并验证一个严格等价的增量方案。缓存键至少包含数据快照、资产、窗口起止、标准化版本、tokenizer 与模型 revision、数值精度。骨干解冻或换 checkpoint 后，旧表征缓存失效。</w:t>
      </w:r>
    </w:p>
    <w:p>
      <w:pPr>
        <w:pStyle w:val="Heading2"/>
        <w:pageBreakBefore/>
      </w:pPr>
      <w:r>
        <w:t>5.4 量化前后诊断：什么时候值得重做 tokenizer</w:t>
      </w:r>
    </w:p>
    <w:p>
      <w:r>
        <w:t>可在相同窗口和训练折中读取四类表示：普通价量特征、量化前连续表示、量化后表示、主干末端表示。tokenizer 的连续编码与量化步骤在源码中是独立阶段，因此可以增加诊断接口，而不必先重建模型。</w:t>
      </w:r>
      <w:hyperlink w:anchor="ref03">
        <w:r>
          <w:rPr>
            <w:color w:val="167A86"/>
            <w:rFonts w:ascii="Carlito" w:hAnsi="Carlito" w:eastAsia="Noto Sans CJK SC"/>
            <w:sz w:val="19"/>
          </w:rPr>
          <w:t>[03]</w:t>
        </w:r>
      </w:hyperlink>
    </w:p>
    <w:p>
      <w:r>
        <w:t>比较时应控制读出器自由度：维度差异很大时，可分别使用一致正则化预算，或仅在训练折拟合统一维度的投影。不能把一个高容量头的收益归因于表示本身。</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327"/>
        <w:gridCol w:w="3781"/>
        <w:gridCol w:w="3587"/>
      </w:tblGrid>
      <w:tr>
        <w:trPr>
          <w:cantSplit/>
          <w:tblHeader/>
        </w:trPr>
        <w:tc>
          <w:tcPr>
            <w:tcW w:type="dxa" w:w="2327"/>
            <w:vAlign w:val="center"/>
            <w:tcMar>
              <w:top w:w="55" w:type="dxa"/>
              <w:bottom w:w="55" w:type="dxa"/>
              <w:left w:w="75" w:type="dxa"/>
              <w:right w:w="75" w:type="dxa"/>
            </w:tcMar>
            <w:shd w:fill="173444"/>
          </w:tcPr>
          <w:p>
            <w:pPr>
              <w:pStyle w:val="TableText"/>
              <w:keepNext/>
            </w:pPr>
            <w:r>
              <w:rPr>
                <w:b/>
                <w:color w:val="FFFFFF"/>
                <w:sz w:val="18"/>
              </w:rPr>
              <w:t>观察结果</w:t>
            </w:r>
          </w:p>
        </w:tc>
        <w:tc>
          <w:tcPr>
            <w:tcW w:type="dxa" w:w="3781"/>
            <w:vAlign w:val="center"/>
            <w:tcMar>
              <w:top w:w="55" w:type="dxa"/>
              <w:bottom w:w="55" w:type="dxa"/>
              <w:left w:w="75" w:type="dxa"/>
              <w:right w:w="75" w:type="dxa"/>
            </w:tcMar>
            <w:shd w:fill="173444"/>
          </w:tcPr>
          <w:p>
            <w:pPr>
              <w:pStyle w:val="TableText"/>
              <w:keepNext/>
            </w:pPr>
            <w:r>
              <w:rPr>
                <w:b/>
                <w:color w:val="FFFFFF"/>
                <w:sz w:val="18"/>
              </w:rPr>
              <w:t>合理解释</w:t>
            </w:r>
          </w:p>
        </w:tc>
        <w:tc>
          <w:tcPr>
            <w:tcW w:type="dxa" w:w="3587"/>
            <w:vAlign w:val="center"/>
            <w:tcMar>
              <w:top w:w="55" w:type="dxa"/>
              <w:bottom w:w="55" w:type="dxa"/>
              <w:left w:w="75" w:type="dxa"/>
              <w:right w:w="75" w:type="dxa"/>
            </w:tcMar>
            <w:shd w:fill="173444"/>
          </w:tcPr>
          <w:p>
            <w:pPr>
              <w:pStyle w:val="TableText"/>
              <w:keepNext/>
            </w:pPr>
            <w:r>
              <w:rPr>
                <w:b/>
                <w:color w:val="FFFFFF"/>
                <w:sz w:val="18"/>
              </w:rPr>
              <w:t>下一步</w:t>
            </w:r>
          </w:p>
        </w:tc>
      </w:tr>
      <w:tr>
        <w:trPr>
          <w:cantSplit/>
        </w:trPr>
        <w:tc>
          <w:tcPr>
            <w:tcW w:type="dxa" w:w="2327"/>
            <w:vAlign w:val="center"/>
            <w:tcMar>
              <w:top w:w="55" w:type="dxa"/>
              <w:bottom w:w="55" w:type="dxa"/>
              <w:left w:w="75" w:type="dxa"/>
              <w:right w:w="75" w:type="dxa"/>
            </w:tcMar>
            <w:shd w:fill="FFFFFF"/>
          </w:tcPr>
          <w:p>
            <w:pPr>
              <w:pStyle w:val="TableText"/>
            </w:pPr>
            <w:r>
              <w:t>连续、离散、主干均无稳定增益</w:t>
            </w:r>
          </w:p>
        </w:tc>
        <w:tc>
          <w:tcPr>
            <w:tcW w:type="dxa" w:w="3781"/>
            <w:vAlign w:val="center"/>
            <w:tcMar>
              <w:top w:w="55" w:type="dxa"/>
              <w:bottom w:w="55" w:type="dxa"/>
              <w:left w:w="75" w:type="dxa"/>
              <w:right w:w="75" w:type="dxa"/>
            </w:tcMar>
            <w:shd w:fill="FFFFFF"/>
          </w:tcPr>
          <w:p>
            <w:pPr>
              <w:pStyle w:val="TableText"/>
            </w:pPr>
            <w:r>
              <w:t>当前信息、目标或样本不足</w:t>
            </w:r>
          </w:p>
        </w:tc>
        <w:tc>
          <w:tcPr>
            <w:tcW w:type="dxa" w:w="3587"/>
            <w:vAlign w:val="center"/>
            <w:tcMar>
              <w:top w:w="55" w:type="dxa"/>
              <w:bottom w:w="55" w:type="dxa"/>
              <w:left w:w="75" w:type="dxa"/>
              <w:right w:w="75" w:type="dxa"/>
            </w:tcMar>
            <w:shd w:fill="FFFFFF"/>
          </w:tcPr>
          <w:p>
            <w:pPr>
              <w:pStyle w:val="TableText"/>
            </w:pPr>
            <w:r>
              <w:t>停止扩模，审计数据和任务</w:t>
            </w:r>
          </w:p>
        </w:tc>
      </w:tr>
      <w:tr>
        <w:trPr>
          <w:cantSplit/>
        </w:trPr>
        <w:tc>
          <w:tcPr>
            <w:tcW w:type="dxa" w:w="2327"/>
            <w:vAlign w:val="center"/>
            <w:tcMar>
              <w:top w:w="55" w:type="dxa"/>
              <w:bottom w:w="55" w:type="dxa"/>
              <w:left w:w="75" w:type="dxa"/>
              <w:right w:w="75" w:type="dxa"/>
            </w:tcMar>
            <w:shd w:fill="F2F6F8"/>
          </w:tcPr>
          <w:p>
            <w:pPr>
              <w:pStyle w:val="TableText"/>
            </w:pPr>
            <w:r>
              <w:t>连续优于离散</w:t>
            </w:r>
          </w:p>
        </w:tc>
        <w:tc>
          <w:tcPr>
            <w:tcW w:type="dxa" w:w="3781"/>
            <w:vAlign w:val="center"/>
            <w:tcMar>
              <w:top w:w="55" w:type="dxa"/>
              <w:bottom w:w="55" w:type="dxa"/>
              <w:left w:w="75" w:type="dxa"/>
              <w:right w:w="75" w:type="dxa"/>
            </w:tcMar>
            <w:shd w:fill="F2F6F8"/>
          </w:tcPr>
          <w:p>
            <w:pPr>
              <w:pStyle w:val="TableText"/>
            </w:pPr>
            <w:r>
              <w:t>量化可能丢掉相关细节</w:t>
            </w:r>
          </w:p>
        </w:tc>
        <w:tc>
          <w:tcPr>
            <w:tcW w:type="dxa" w:w="3587"/>
            <w:vAlign w:val="center"/>
            <w:tcMar>
              <w:top w:w="55" w:type="dxa"/>
              <w:bottom w:w="55" w:type="dxa"/>
              <w:left w:w="75" w:type="dxa"/>
              <w:right w:w="75" w:type="dxa"/>
            </w:tcMar>
            <w:shd w:fill="F2F6F8"/>
          </w:tcPr>
          <w:p>
            <w:pPr>
              <w:pStyle w:val="TableText"/>
            </w:pPr>
            <w:r>
              <w:t>重复验证后研究 tokenizer</w:t>
            </w:r>
          </w:p>
        </w:tc>
      </w:tr>
      <w:tr>
        <w:trPr>
          <w:cantSplit/>
        </w:trPr>
        <w:tc>
          <w:tcPr>
            <w:tcW w:type="dxa" w:w="2327"/>
            <w:vAlign w:val="center"/>
            <w:tcMar>
              <w:top w:w="55" w:type="dxa"/>
              <w:bottom w:w="55" w:type="dxa"/>
              <w:left w:w="75" w:type="dxa"/>
              <w:right w:w="75" w:type="dxa"/>
            </w:tcMar>
            <w:shd w:fill="FFFFFF"/>
          </w:tcPr>
          <w:p>
            <w:pPr>
              <w:pStyle w:val="TableText"/>
            </w:pPr>
            <w:r>
              <w:t>离散优于连续</w:t>
            </w:r>
          </w:p>
        </w:tc>
        <w:tc>
          <w:tcPr>
            <w:tcW w:type="dxa" w:w="3781"/>
            <w:vAlign w:val="center"/>
            <w:tcMar>
              <w:top w:w="55" w:type="dxa"/>
              <w:bottom w:w="55" w:type="dxa"/>
              <w:left w:w="75" w:type="dxa"/>
              <w:right w:w="75" w:type="dxa"/>
            </w:tcMar>
            <w:shd w:fill="FFFFFF"/>
          </w:tcPr>
          <w:p>
            <w:pPr>
              <w:pStyle w:val="TableText"/>
            </w:pPr>
            <w:r>
              <w:t>量化可能有去噪价值</w:t>
            </w:r>
          </w:p>
        </w:tc>
        <w:tc>
          <w:tcPr>
            <w:tcW w:type="dxa" w:w="3587"/>
            <w:vAlign w:val="center"/>
            <w:tcMar>
              <w:top w:w="55" w:type="dxa"/>
              <w:bottom w:w="55" w:type="dxa"/>
              <w:left w:w="75" w:type="dxa"/>
              <w:right w:w="75" w:type="dxa"/>
            </w:tcMar>
            <w:shd w:fill="FFFFFF"/>
          </w:tcPr>
          <w:p>
            <w:pPr>
              <w:pStyle w:val="TableText"/>
            </w:pPr>
            <w:r>
              <w:t>保留 tokenizer</w:t>
            </w:r>
          </w:p>
        </w:tc>
      </w:tr>
      <w:tr>
        <w:trPr>
          <w:cantSplit/>
        </w:trPr>
        <w:tc>
          <w:tcPr>
            <w:tcW w:type="dxa" w:w="2327"/>
            <w:vAlign w:val="center"/>
            <w:tcMar>
              <w:top w:w="55" w:type="dxa"/>
              <w:bottom w:w="55" w:type="dxa"/>
              <w:left w:w="75" w:type="dxa"/>
              <w:right w:w="75" w:type="dxa"/>
            </w:tcMar>
            <w:shd w:fill="F2F6F8"/>
          </w:tcPr>
          <w:p>
            <w:pPr>
              <w:pStyle w:val="TableText"/>
            </w:pPr>
            <w:r>
              <w:t>主干优于离散直接读出</w:t>
            </w:r>
          </w:p>
        </w:tc>
        <w:tc>
          <w:tcPr>
            <w:tcW w:type="dxa" w:w="3781"/>
            <w:vAlign w:val="center"/>
            <w:tcMar>
              <w:top w:w="55" w:type="dxa"/>
              <w:bottom w:w="55" w:type="dxa"/>
              <w:left w:w="75" w:type="dxa"/>
              <w:right w:w="75" w:type="dxa"/>
            </w:tcMar>
            <w:shd w:fill="F2F6F8"/>
          </w:tcPr>
          <w:p>
            <w:pPr>
              <w:pStyle w:val="TableText"/>
            </w:pPr>
            <w:r>
              <w:t>序列预训练可能有贡献</w:t>
            </w:r>
          </w:p>
        </w:tc>
        <w:tc>
          <w:tcPr>
            <w:tcW w:type="dxa" w:w="3587"/>
            <w:vAlign w:val="center"/>
            <w:tcMar>
              <w:top w:w="55" w:type="dxa"/>
              <w:bottom w:w="55" w:type="dxa"/>
              <w:left w:w="75" w:type="dxa"/>
              <w:right w:w="75" w:type="dxa"/>
            </w:tcMar>
            <w:shd w:fill="F2F6F8"/>
          </w:tcPr>
          <w:p>
            <w:pPr>
              <w:pStyle w:val="TableText"/>
            </w:pPr>
            <w:r>
              <w:t>研究任务头和有限解冻</w:t>
            </w:r>
          </w:p>
        </w:tc>
      </w:tr>
      <w:tr>
        <w:trPr>
          <w:cantSplit/>
        </w:trPr>
        <w:tc>
          <w:tcPr>
            <w:tcW w:type="dxa" w:w="2327"/>
            <w:vAlign w:val="center"/>
            <w:tcMar>
              <w:top w:w="55" w:type="dxa"/>
              <w:bottom w:w="55" w:type="dxa"/>
              <w:left w:w="75" w:type="dxa"/>
              <w:right w:w="75" w:type="dxa"/>
            </w:tcMar>
            <w:shd w:fill="FFFFFF"/>
          </w:tcPr>
          <w:p>
            <w:pPr>
              <w:pStyle w:val="TableText"/>
            </w:pPr>
            <w:r>
              <w:t>只在单折或单币种有效</w:t>
            </w:r>
          </w:p>
        </w:tc>
        <w:tc>
          <w:tcPr>
            <w:tcW w:type="dxa" w:w="3781"/>
            <w:vAlign w:val="center"/>
            <w:tcMar>
              <w:top w:w="55" w:type="dxa"/>
              <w:bottom w:w="55" w:type="dxa"/>
              <w:left w:w="75" w:type="dxa"/>
              <w:right w:w="75" w:type="dxa"/>
            </w:tcMar>
            <w:shd w:fill="FFFFFF"/>
          </w:tcPr>
          <w:p>
            <w:pPr>
              <w:pStyle w:val="TableText"/>
            </w:pPr>
            <w:r>
              <w:t>偶然性或高度局部适配</w:t>
            </w:r>
          </w:p>
        </w:tc>
        <w:tc>
          <w:tcPr>
            <w:tcW w:type="dxa" w:w="3587"/>
            <w:vAlign w:val="center"/>
            <w:tcMar>
              <w:top w:w="55" w:type="dxa"/>
              <w:bottom w:w="55" w:type="dxa"/>
              <w:left w:w="75" w:type="dxa"/>
              <w:right w:w="75" w:type="dxa"/>
            </w:tcMar>
            <w:shd w:fill="FFFFFF"/>
          </w:tcPr>
          <w:p>
            <w:pPr>
              <w:pStyle w:val="TableText"/>
            </w:pPr>
            <w:r>
              <w:t>不升级为普遍结论</w:t>
            </w:r>
          </w:p>
        </w:tc>
      </w:tr>
    </w:tbl>
    <w:p>
      <w:pPr>
        <w:spacing w:after="0" w:before="0" w:line="80" w:lineRule="exact"/>
      </w:pPr>
      <w:r>
        <w:rPr>
          <w:sz w:val="4"/>
        </w:rPr>
      </w:r>
    </w:p>
    <w:p>
      <w:r>
        <w:t>这些解释都是候选解释，不是由一次结果自动推出的因果结论。线性探针失败也不证明“完全无信息”，只是说明当前简单读出方式未能利用它。</w:t>
      </w:r>
    </w:p>
    <w:p>
      <w:pPr>
        <w:pStyle w:val="Heading2"/>
      </w:pPr>
      <w:r>
        <w:t>5.5 验收与停止条件</w:t>
      </w:r>
    </w:p>
    <w:p>
      <w:r>
        <w:t>验收应看配对样本外差异：相同时间区间内，加入表征后预测损失和净组合表现是否有经济上有意义的改善，是否依赖极少数窗口。若有限的非线性读出和受控解冻均无增益，应停止无限增加头部容量。</w:t>
      </w:r>
    </w:p>
    <w:p>
      <w:r>
        <w:t>输出物包括可复现的特征缓存、各基线预测、每折指标、成本敏感性、表征提取配置和失败试验记录。探针成功只是进入下一阶段的证据，不是实盘许可。</w:t>
      </w:r>
    </w:p>
    <w:p>
      <w:pPr>
        <w:pStyle w:val="Heading1"/>
      </w:pPr>
      <w:bookmarkStart w:id="7" w:name="sec6"/>
      <w:r>
        <w:t>06 动量、净收益与策略参与度改造</w:t>
      </w:r>
      <w:bookmarkEnd w:id="7"/>
    </w:p>
    <w:p>
      <w:pPr>
        <w:pStyle w:val="Heading2"/>
      </w:pPr>
      <w:r>
        <w:t>6.1 将“改成动量设计”拆成三个层级</w:t>
      </w:r>
    </w:p>
    <w:p>
      <w:r>
        <w:t>第一层是保留全部输入，只增加多尺度动量等基线特征；第二层是保留 tokenizer，改变下游标签和决策目标；第三层才是把输入改成收益率／形态语言并重建 tokenizer。优先做第二层，避免把低成本任务适配升级成高成本表示重建。</w:t>
      </w:r>
    </w:p>
    <w:p>
      <w:r>
        <w:t>已有 Deep Momentum Networks 研究将趋势估计、仓位和交易成本放入学习框架，说明这一研究方向有先例；但那不是 Kronos 在 crypto 上有效的证明，也不是本方案门控设计的直接实证支持。</w:t>
      </w:r>
      <w:hyperlink w:anchor="ref10">
        <w:r>
          <w:rPr>
            <w:color w:val="167A86"/>
            <w:rFonts w:ascii="Carlito" w:hAnsi="Carlito" w:eastAsia="Noto Sans CJK SC"/>
            <w:sz w:val="19"/>
          </w:rPr>
          <w:t>[10]</w:t>
        </w:r>
      </w:hyperlink>
    </w:p>
    <w:p>
      <w:pPr>
        <w:pStyle w:val="Heading2"/>
      </w:pPr>
      <w:r>
        <w:t>6.2 推荐第一版：参与，不自由反转</w:t>
      </w:r>
    </w:p>
    <w:p>
      <w:r>
        <w:t>先固定基础动量仓位，再让模型输出参与程度：</w:t>
      </w:r>
    </w:p>
    <w:p>
      <w:pPr>
        <w:keepLines/>
        <w:spacing w:before="100" w:after="180" w:line="264" w:lineRule="auto"/>
        <w:jc w:val="center"/>
      </w:pPr>
      <m:oMathPara>
        <m:oMathParaPr>
          <m:jc m:val="center"/>
        </m:oMathParaPr>
        <m:oMath>
          <m:sSub>
            <m:e>
              <m:r>
                <m:t>w</m:t>
              </m:r>
            </m:e>
            <m:sub>
              <m:r>
                <m:t>t</m:t>
              </m:r>
            </m:sub>
          </m:sSub>
          <m:r>
            <m:rPr>
              <m:sty m:val="p"/>
            </m:rPr>
            <m:t>=</m:t>
          </m:r>
          <m:sSub>
            <m:e>
              <m:r>
                <m:t>a</m:t>
              </m:r>
            </m:e>
            <m:sub>
              <m:r>
                <m:t>t</m:t>
              </m:r>
            </m:sub>
          </m:sSub>
          <m:sSubSup>
            <m:e>
              <m:r>
                <m:t>w</m:t>
              </m:r>
            </m:e>
            <m:sub>
              <m:r>
                <m:t>t</m:t>
              </m:r>
            </m:sub>
            <m:sup>
              <m:r>
                <m:rPr>
                  <m:sty m:val="p"/>
                </m:rPr>
                <m:t>m</m:t>
              </m:r>
              <m:r>
                <m:rPr>
                  <m:sty m:val="p"/>
                </m:rPr>
                <m:t>o</m:t>
              </m:r>
              <m:r>
                <m:rPr>
                  <m:sty m:val="p"/>
                </m:rPr>
                <m:t>m</m:t>
              </m:r>
            </m:sup>
          </m:sSubSup>
          <m:r>
            <m:rPr>
              <m:sty m:val="p"/>
            </m:rPr>
            <m:t>,</m:t>
          </m:r>
          <m:r>
            <m:t>  </m:t>
          </m:r>
          <m:r>
            <m:t>0</m:t>
          </m:r>
          <m:r>
            <m:rPr>
              <m:sty m:val="p"/>
            </m:rPr>
            <m:t>≤</m:t>
          </m:r>
          <m:sSub>
            <m:e>
              <m:r>
                <m:t>a</m:t>
              </m:r>
            </m:e>
            <m:sub>
              <m:r>
                <m:t>t</m:t>
              </m:r>
            </m:sub>
          </m:sSub>
          <m:r>
            <m:rPr>
              <m:sty m:val="p"/>
            </m:rPr>
            <m:t>≤</m:t>
          </m:r>
          <m:r>
            <m:t>1</m:t>
          </m:r>
        </m:oMath>
      </m:oMathPara>
    </w:p>
    <w:p>
      <w:r>
        <w:t>a 可以先取“参与／跳过”，再扩展为连续缩放。第一版不让模型任意把动量改成反向交易。这样限制了策略自由度，也便于判断增益来自跳过坏交易、降低风险，还是改变方向。</w:t>
      </w:r>
    </w:p>
    <w:p>
      <w:r>
        <w:t>基础动量规则及其回看长度必须在当前训练／验证层确定，进入外层测试后固定。不能用外层测试选择“最适合被 Kronos 改进”的基础策略。</w:t>
      </w:r>
    </w:p>
    <w:p>
      <w:pPr>
        <w:pStyle w:val="Heading2"/>
      </w:pPr>
      <w:r>
        <w:t>6.3 标签应与可执行行为一致</w:t>
      </w:r>
    </w:p>
    <w:p>
      <w:r>
        <w:t>对于固定持有期、独立进入的一笔参考交易，可建立以下净结果标签：</w:t>
      </w:r>
    </w:p>
    <w:p>
      <w:pPr>
        <w:keepLines/>
        <w:spacing w:before="100" w:after="180" w:line="264" w:lineRule="auto"/>
        <w:jc w:val="center"/>
      </w:pPr>
      <m:oMathPara>
        <m:oMathParaPr>
          <m:jc m:val="center"/>
        </m:oMathParaPr>
        <m:oMath>
          <m:sSubSup>
            <m:e>
              <m:r>
                <m:t>y</m:t>
              </m:r>
            </m:e>
            <m:sub>
              <m:r>
                <m:t>t</m:t>
              </m:r>
            </m:sub>
            <m:sup>
              <m:r>
                <m:rPr>
                  <m:sty m:val="p"/>
                </m:rPr>
                <m:t>n</m:t>
              </m:r>
              <m:r>
                <m:rPr>
                  <m:sty m:val="p"/>
                </m:rPr>
                <m:t>e</m:t>
              </m:r>
              <m:r>
                <m:rPr>
                  <m:sty m:val="p"/>
                </m:rPr>
                <m:t>t</m:t>
              </m:r>
            </m:sup>
          </m:sSubSup>
          <m:r>
            <m:rPr>
              <m:sty m:val="p"/>
            </m:rPr>
            <m:t>=</m:t>
          </m:r>
          <m:sSubSup>
            <m:e>
              <m:r>
                <m:t>w</m:t>
              </m:r>
            </m:e>
            <m:sub>
              <m:r>
                <m:t>t</m:t>
              </m:r>
            </m:sub>
            <m:sup>
              <m:r>
                <m:rPr>
                  <m:sty m:val="p"/>
                </m:rPr>
                <m:t>r</m:t>
              </m:r>
              <m:r>
                <m:rPr>
                  <m:sty m:val="p"/>
                </m:rPr>
                <m:t>e</m:t>
              </m:r>
              <m:r>
                <m:rPr>
                  <m:sty m:val="p"/>
                </m:rPr>
                <m:t>f</m:t>
              </m:r>
            </m:sup>
          </m:sSubSup>
          <m:sSubSup>
            <m:e>
              <m:r>
                <m:t>R</m:t>
              </m:r>
            </m:e>
            <m:sub>
              <m:r>
                <m:t>t</m:t>
              </m:r>
              <m:r>
                <m:rPr>
                  <m:sty m:val="p"/>
                </m:rPr>
                <m:t>,</m:t>
              </m:r>
              <m:r>
                <m:t>t</m:t>
              </m:r>
              <m:r>
                <m:rPr>
                  <m:sty m:val="p"/>
                </m:rPr>
                <m:t>+</m:t>
              </m:r>
              <m:r>
                <m:t>H</m:t>
              </m:r>
            </m:sub>
            <m:sup>
              <m:r>
                <m:rPr>
                  <m:sty m:val="p"/>
                </m:rPr>
                <m:t>e</m:t>
              </m:r>
              <m:r>
                <m:rPr>
                  <m:sty m:val="p"/>
                </m:rPr>
                <m:t>x</m:t>
              </m:r>
              <m:r>
                <m:rPr>
                  <m:sty m:val="p"/>
                </m:rPr>
                <m:t>e</m:t>
              </m:r>
              <m:r>
                <m:rPr>
                  <m:sty m:val="p"/>
                </m:rPr>
                <m:t>c</m:t>
              </m:r>
            </m:sup>
          </m:sSubSup>
          <m:r>
            <m:rPr>
              <m:sty m:val="p"/>
            </m:rPr>
            <m:t>−</m:t>
          </m:r>
          <m:sSubSup>
            <m:e>
              <m:r>
                <m:t>C</m:t>
              </m:r>
            </m:e>
            <m:sub>
              <m:r>
                <m:t>t</m:t>
              </m:r>
              <m:r>
                <m:rPr>
                  <m:sty m:val="p"/>
                </m:rPr>
                <m:t>,</m:t>
              </m:r>
              <m:r>
                <m:t>t</m:t>
              </m:r>
              <m:r>
                <m:rPr>
                  <m:sty m:val="p"/>
                </m:rPr>
                <m:t>+</m:t>
              </m:r>
              <m:r>
                <m:t>H</m:t>
              </m:r>
            </m:sub>
            <m:sup>
              <m:r>
                <m:rPr>
                  <m:sty m:val="p"/>
                </m:rPr>
                <m:t>f</m:t>
              </m:r>
              <m:r>
                <m:rPr>
                  <m:sty m:val="p"/>
                </m:rPr>
                <m:t>e</m:t>
              </m:r>
              <m:r>
                <m:rPr>
                  <m:sty m:val="p"/>
                </m:rPr>
                <m:t>e</m:t>
              </m:r>
              <m:r>
                <m:rPr>
                  <m:sty m:val="p"/>
                </m:rPr>
                <m:t>s</m:t>
              </m:r>
              <m:r>
                <m:rPr>
                  <m:sty m:val="p"/>
                </m:rPr>
                <m:t>+</m:t>
              </m:r>
              <m:r>
                <m:rPr>
                  <m:sty m:val="p"/>
                </m:rPr>
                <m:t>s</m:t>
              </m:r>
              <m:r>
                <m:rPr>
                  <m:sty m:val="p"/>
                </m:rPr>
                <m:t>l</m:t>
              </m:r>
              <m:r>
                <m:rPr>
                  <m:sty m:val="p"/>
                </m:rPr>
                <m:t>i</m:t>
              </m:r>
              <m:r>
                <m:rPr>
                  <m:sty m:val="p"/>
                </m:rPr>
                <m:t>p</m:t>
              </m:r>
            </m:sup>
          </m:sSubSup>
          <m:r>
            <m:rPr>
              <m:sty m:val="p"/>
            </m:rPr>
            <m:t>−</m:t>
          </m:r>
          <m:sSub>
            <m:e>
              <m:r>
                <m:t>F</m:t>
              </m:r>
            </m:e>
            <m:sub>
              <m:r>
                <m:t>t</m:t>
              </m:r>
              <m:r>
                <m:rPr>
                  <m:sty m:val="p"/>
                </m:rPr>
                <m:t>,</m:t>
              </m:r>
              <m:r>
                <m:t>t</m:t>
              </m:r>
              <m:r>
                <m:rPr>
                  <m:sty m:val="p"/>
                </m:rPr>
                <m:t>+</m:t>
              </m:r>
              <m:r>
                <m:t>H</m:t>
              </m:r>
            </m:sub>
          </m:sSub>
        </m:oMath>
      </m:oMathPara>
    </w:p>
    <w:p>
      <w:r>
        <w:t>R 按明确的可成交价格口径计算；C 为非负交易摩擦；F 是有符号的资金费用，收取与支付需要区别。未来实际资金费率可用于事后标签与回测结果，但不能泄漏为决策时的输入。</w:t>
      </w:r>
    </w:p>
    <w:p>
      <w:r>
        <w:t>连续组合的换手成本不是参考标签成本乘 a。最终必须用真实仓位变化重新记账：</w:t>
      </w:r>
    </w:p>
    <w:p>
      <w:pPr>
        <w:keepLines/>
        <w:spacing w:before="100" w:after="180" w:line="264" w:lineRule="auto"/>
        <w:jc w:val="center"/>
      </w:pPr>
      <m:oMathPara>
        <m:oMathParaPr>
          <m:jc m:val="center"/>
        </m:oMathParaPr>
        <m:oMath>
          <m:sSub>
            <m:e>
              <m:r>
                <m:t>Π</m:t>
              </m:r>
            </m:e>
            <m:sub>
              <m:r>
                <m:t>t</m:t>
              </m:r>
              <m:r>
                <m:rPr>
                  <m:sty m:val="p"/>
                </m:rPr>
                <m:t>+</m:t>
              </m:r>
              <m:r>
                <m:t>1</m:t>
              </m:r>
            </m:sub>
          </m:sSub>
          <m:r>
            <m:rPr>
              <m:sty m:val="p"/>
            </m:rPr>
            <m:t>=</m:t>
          </m:r>
          <m:sSub>
            <m:e>
              <m:r>
                <m:t>w</m:t>
              </m:r>
            </m:e>
            <m:sub>
              <m:r>
                <m:t>t</m:t>
              </m:r>
            </m:sub>
          </m:sSub>
          <m:sSub>
            <m:e>
              <m:r>
                <m:t>R</m:t>
              </m:r>
            </m:e>
            <m:sub>
              <m:r>
                <m:t>t</m:t>
              </m:r>
              <m:r>
                <m:rPr>
                  <m:sty m:val="p"/>
                </m:rPr>
                <m:t>+</m:t>
              </m:r>
              <m:r>
                <m:t>1</m:t>
              </m:r>
            </m:sub>
          </m:sSub>
          <m:r>
            <m:rPr>
              <m:sty m:val="p"/>
            </m:rPr>
            <m:t>−</m:t>
          </m:r>
          <m:sSub>
            <m:e>
              <m:r>
                <m:t>c</m:t>
              </m:r>
            </m:e>
            <m:sub>
              <m:r>
                <m:t>t</m:t>
              </m:r>
            </m:sub>
          </m:sSub>
          <m:r>
            <m:rPr>
              <m:sty m:val="p"/>
            </m:rPr>
            <m:t>abs</m:t>
          </m:r>
          <m:d>
            <m:dPr>
              <m:begChr m:val="("/>
              <m:endChr m:val=")"/>
              <m:sepChr m:val=""/>
              <m:grow/>
            </m:dPr>
            <m:e>
              <m:sSub>
                <m:e>
                  <m:r>
                    <m:t>w</m:t>
                  </m:r>
                </m:e>
                <m:sub>
                  <m:r>
                    <m:t>t</m:t>
                  </m:r>
                </m:sub>
              </m:sSub>
              <m:r>
                <m:rPr>
                  <m:sty m:val="p"/>
                </m:rPr>
                <m:t>−</m:t>
              </m:r>
              <m:sSub>
                <m:e>
                  <m:r>
                    <m:t>w</m:t>
                  </m:r>
                </m:e>
                <m:sub>
                  <m:r>
                    <m:t>t</m:t>
                  </m:r>
                  <m:r>
                    <m:rPr>
                      <m:sty m:val="p"/>
                    </m:rPr>
                    <m:t>−</m:t>
                  </m:r>
                  <m:r>
                    <m:t>1</m:t>
                  </m:r>
                </m:sub>
              </m:sSub>
            </m:e>
          </m:d>
          <m:r>
            <m:rPr>
              <m:sty m:val="p"/>
            </m:rPr>
            <m:t>−</m:t>
          </m:r>
          <m:sSub>
            <m:e>
              <m:r>
                <m:t>F</m:t>
              </m:r>
            </m:e>
            <m:sub>
              <m:r>
                <m:t>t</m:t>
              </m:r>
              <m:r>
                <m:rPr>
                  <m:sty m:val="p"/>
                </m:rPr>
                <m:t>+</m:t>
              </m:r>
              <m:r>
                <m:t>1</m:t>
              </m:r>
            </m:sub>
          </m:sSub>
          <m:r>
            <m:rPr>
              <m:sty m:val="p"/>
            </m:rPr>
            <m:t>−</m:t>
          </m:r>
          <m:sSub>
            <m:e>
              <m:r>
                <m:t>S</m:t>
              </m:r>
            </m:e>
            <m:sub>
              <m:r>
                <m:t>t</m:t>
              </m:r>
              <m:r>
                <m:rPr>
                  <m:sty m:val="p"/>
                </m:rPr>
                <m:t>+</m:t>
              </m:r>
              <m:r>
                <m:t>1</m:t>
              </m:r>
            </m:sub>
          </m:sSub>
        </m:oMath>
      </m:oMathPara>
    </w:p>
    <w:p>
      <w:r>
        <w:t>上式是简化的单资产示意。实际费用、滑点、冲击和资金费用按交易与持仓分别计提，避免重复扣费。重叠持有期的标签也不能直接相加为资金曲线。</w:t>
      </w:r>
    </w:p>
    <w:p>
      <w:pPr>
        <w:pStyle w:val="Heading2"/>
        <w:pageBreakBefore/>
      </w:pPr>
      <w:r>
        <w:t>6.4 损失选择与有限解冻</w:t>
      </w:r>
    </w:p>
    <w:p>
      <w:r>
        <w:t>第一版可以预测净结果或“净结果为正”的概率，再在验证集固定决策阈值。分类胜率不能替代期望收益：高胜率、小盈利、偶发大亏仍可能没有经济价值。若使用 Huber 等稳健损失，需要承认其最优预测量未必等同条件均值，最终仍由组合净表现验收。</w:t>
      </w:r>
    </w:p>
    <w:p>
      <w:r>
        <w:t>冻结读出有希望时，可只解冻最后少数层，再与保持冻结的版本比较；随后才考虑全量微调。保留自回归辅助损失是可试验的正则化手段，但不应预设必须保留。每增加一个损失权重，就增加一项模型选择自由度。</w:t>
      </w:r>
    </w:p>
    <w:p>
      <w:r>
        <w:t>直接优化 Sharpe 或可微组合效用可以作为更后阶段方案。它要求按连续时间构造批次、处理跨批仓位和成本，而不是把任意打乱的单样本当成连续交易轨迹。</w:t>
      </w:r>
    </w:p>
    <w:p>
      <w:pPr>
        <w:pStyle w:val="Heading2"/>
      </w:pPr>
      <w:r>
        <w:t>6.5 理论边界：门控不能从条件零收益创造 alpha</w:t>
      </w:r>
    </w:p>
    <w:p>
      <w:r>
        <w:t>若在当时全部可用信息下，一条因子的条件毛收益确实为零，则任何仅依赖这些信息的可积门控都不能凭空获得正期望：</w:t>
      </w:r>
    </w:p>
    <w:p>
      <w:pPr>
        <w:keepLines/>
        <w:spacing w:before="100" w:after="180" w:line="264" w:lineRule="auto"/>
        <w:jc w:val="center"/>
      </w:pPr>
      <m:oMathPara>
        <m:oMathParaPr>
          <m:jc m:val="center"/>
        </m:oMathParaPr>
        <m:oMath>
          <m:r>
            <m:rPr>
              <m:sty m:val="p"/>
              <m:scr m:val="double-struck"/>
            </m:rPr>
            <m:t>E</m:t>
          </m:r>
          <m:d>
            <m:dPr>
              <m:begChr m:val="["/>
              <m:endChr m:val="]"/>
              <m:sepChr m:val=""/>
              <m:grow/>
            </m:dPr>
            <m:e>
              <m:sSubSup>
                <m:e>
                  <m:r>
                    <m:t>R</m:t>
                  </m:r>
                </m:e>
                <m:sub>
                  <m:r>
                    <m:t>t</m:t>
                  </m:r>
                  <m:r>
                    <m:rPr>
                      <m:sty m:val="p"/>
                    </m:rPr>
                    <m:t>+</m:t>
                  </m:r>
                  <m:r>
                    <m:t>1</m:t>
                  </m:r>
                </m:sub>
                <m:sup>
                  <m:r>
                    <m:t>f</m:t>
                  </m:r>
                </m:sup>
              </m:sSubSup>
              <m:r>
                <m:rPr>
                  <m:sty m:val="p"/>
                </m:rPr>
                <m:t>∣</m:t>
              </m:r>
              <m:sSub>
                <m:e>
                  <m:r>
                    <m:rPr>
                      <m:sty m:val="p"/>
                      <m:scr m:val="script"/>
                    </m:rPr>
                    <m:t>F</m:t>
                  </m:r>
                </m:e>
                <m:sub>
                  <m:r>
                    <m:t>t</m:t>
                  </m:r>
                </m:sub>
              </m:sSub>
            </m:e>
          </m:d>
          <m:r>
            <m:rPr>
              <m:sty m:val="p"/>
            </m:rPr>
            <m:t>=</m:t>
          </m:r>
          <m:r>
            <m:t>0</m:t>
          </m:r>
          <m:r>
            <m:t> </m:t>
          </m:r>
          <m:r>
            <m:rPr>
              <m:sty m:val="p"/>
            </m:rPr>
            <m:t>⇒</m:t>
          </m:r>
          <m:r>
            <m:t> </m:t>
          </m:r>
          <m:r>
            <m:rPr>
              <m:sty m:val="p"/>
              <m:scr m:val="double-struck"/>
            </m:rPr>
            <m:t>E</m:t>
          </m:r>
          <m:d>
            <m:dPr>
              <m:begChr m:val="["/>
              <m:endChr m:val="]"/>
              <m:sepChr m:val=""/>
              <m:grow/>
            </m:dPr>
            <m:e>
              <m:r>
                <m:t>g</m:t>
              </m:r>
              <m:d>
                <m:dPr>
                  <m:begChr m:val="("/>
                  <m:endChr m:val=")"/>
                  <m:sepChr m:val=""/>
                  <m:grow/>
                </m:dPr>
                <m:e>
                  <m:sSub>
                    <m:e>
                      <m:r>
                        <m:rPr>
                          <m:sty m:val="p"/>
                          <m:scr m:val="script"/>
                        </m:rPr>
                        <m:t>F</m:t>
                      </m:r>
                    </m:e>
                    <m:sub>
                      <m:r>
                        <m:t>t</m:t>
                      </m:r>
                    </m:sub>
                  </m:sSub>
                </m:e>
              </m:d>
              <m:sSubSup>
                <m:e>
                  <m:r>
                    <m:t>R</m:t>
                  </m:r>
                </m:e>
                <m:sub>
                  <m:r>
                    <m:t>t</m:t>
                  </m:r>
                  <m:r>
                    <m:rPr>
                      <m:sty m:val="p"/>
                    </m:rPr>
                    <m:t>+</m:t>
                  </m:r>
                  <m:r>
                    <m:t>1</m:t>
                  </m:r>
                </m:sub>
                <m:sup>
                  <m:r>
                    <m:t>f</m:t>
                  </m:r>
                </m:sup>
              </m:sSubSup>
            </m:e>
          </m:d>
          <m:r>
            <m:rPr>
              <m:sty m:val="p"/>
            </m:rPr>
            <m:t>=</m:t>
          </m:r>
          <m:r>
            <m:t>0</m:t>
          </m:r>
        </m:oMath>
      </m:oMathPara>
    </w:p>
    <w:p>
      <w:r>
        <w:t>因此，“不同 regime 抵消”只能作为待检验假说。事后画出趋势期和反转期，不证明这些状态当时可识别。模型可能改善风险分布或减少成本，但那与创造方向信息是不同贡献。</w:t>
      </w:r>
    </w:p>
    <w:p>
      <w:pPr>
        <w:pStyle w:val="Heading2"/>
      </w:pPr>
      <w:r>
        <w:t>6.6 难度、验收与停止</w:t>
      </w:r>
    </w:p>
    <w:p>
      <w:r>
        <w:t>冻结头约 2／5；有限解冻约 3／5；连续仓位的可微收益优化约 3–4／5。最难的不是网络，而是标签和真实交易过程的一致性。</w:t>
      </w:r>
    </w:p>
    <w:p>
      <w:r>
        <w:t>必须比较原动量、常数缩仓、简单波动目标、普通特征门控和 Kronos 门控。只有回撤变小而收益同步按比例下降，可能只是更少暴露；不能据此称为成功择时。若风险匹配后无增益，停止扩展门控复杂度。</w:t>
      </w:r>
    </w:p>
    <w:p>
      <w:pPr>
        <w:pStyle w:val="Heading1"/>
      </w:pPr>
      <w:bookmarkStart w:id="8" w:name="sec7"/>
      <w:r>
        <w:t>07 波动、下行风险与预测分布</w:t>
      </w:r>
      <w:bookmarkEnd w:id="8"/>
    </w:p>
    <w:p>
      <w:pPr>
        <w:pStyle w:val="Heading2"/>
      </w:pPr>
      <w:r>
        <w:t>7.1 两条不同路线</w:t>
      </w:r>
    </w:p>
    <w:p>
      <w:r>
        <w:t>风险预测头是一条相对便宜的路线：由历史表征预测未来固定时段的方差、下行分位数或参考策略亏损概率。生成分布路线则保留多条未来路径，估计区间、尾部和策略情景结果。前者不需要多步采样，建议优先。</w:t>
      </w:r>
    </w:p>
    <w:p>
      <w:r>
        <w:t>例如，未来实现方差可定义为：</w:t>
      </w:r>
    </w:p>
    <w:p>
      <w:pPr>
        <w:keepLines/>
        <w:spacing w:before="100" w:after="180" w:line="264" w:lineRule="auto"/>
        <w:jc w:val="center"/>
      </w:pPr>
      <m:oMathPara>
        <m:oMathParaPr>
          <m:jc m:val="center"/>
        </m:oMathParaPr>
        <m:oMath>
          <m:sSubSup>
            <m:e>
              <m:r>
                <m:t>y</m:t>
              </m:r>
            </m:e>
            <m:sub>
              <m:r>
                <m:t>t</m:t>
              </m:r>
            </m:sub>
            <m:sup>
              <m:r>
                <m:rPr>
                  <m:sty m:val="p"/>
                </m:rPr>
                <m:t>R</m:t>
              </m:r>
              <m:r>
                <m:rPr>
                  <m:sty m:val="p"/>
                </m:rPr>
                <m:t>V</m:t>
              </m:r>
            </m:sup>
          </m:sSubSup>
          <m:r>
            <m:rPr>
              <m:sty m:val="p"/>
            </m:rPr>
            <m:t>=</m:t>
          </m:r>
          <m:nary>
            <m:naryPr>
              <m:chr m:val="∑"/>
              <m:limLoc m:val="undOvr"/>
              <m:subHide m:val="off"/>
              <m:supHide m:val="off"/>
            </m:naryPr>
            <m:sub>
              <m:r>
                <m:t>j</m:t>
              </m:r>
              <m:r>
                <m:rPr>
                  <m:sty m:val="p"/>
                </m:rPr>
                <m:t>=</m:t>
              </m:r>
              <m:r>
                <m:t>1</m:t>
              </m:r>
            </m:sub>
            <m:sup>
              <m:r>
                <m:t>H</m:t>
              </m:r>
            </m:sup>
            <m:e>
              <m:sSubSup>
                <m:e>
                  <m:r>
                    <m:t>r</m:t>
                  </m:r>
                </m:e>
                <m:sub>
                  <m:r>
                    <m:t>t</m:t>
                  </m:r>
                  <m:r>
                    <m:rPr>
                      <m:sty m:val="p"/>
                    </m:rPr>
                    <m:t>+</m:t>
                  </m:r>
                  <m:r>
                    <m:t>j</m:t>
                  </m:r>
                </m:sub>
                <m:sup>
                  <m:r>
                    <m:t>2</m:t>
                  </m:r>
                </m:sup>
              </m:sSubSup>
            </m:e>
          </m:nary>
        </m:oMath>
      </m:oMathPara>
    </w:p>
    <w:p>
      <w:r>
        <w:t>需明确这是方差代理，平方根才对应相同口径的波动。收益采样频率、跨缺口处理和交易时段必须固定。下行风险还要说明是持有标的风险，还是执行特定策略后的风险。</w:t>
      </w:r>
    </w:p>
    <w:p>
      <w:pPr>
        <w:pStyle w:val="Heading2"/>
      </w:pPr>
      <w:r>
        <w:t>7.2 预测风险不等于提取方向收益</w:t>
      </w:r>
    </w:p>
    <w:p>
      <w:r>
        <w:t>先与滞后实现波动、EWMA 以及资源允许时的简单 GARCH 比较。若模型仅改善波动预测，部署价值可以是更稳定的风险预算或更合理的参与程度，但不能直接称为方向 alpha。</w:t>
      </w:r>
    </w:p>
    <w:p>
      <w:r>
        <w:t>验收除风险预测误差外，还要看等风险预算下的组合结果。非线性缩仓可能改变尾部和换手，因此需要同时报告收益、风险、成本和持仓分布。</w:t>
      </w:r>
    </w:p>
    <w:p>
      <w:pPr>
        <w:pStyle w:val="Heading2"/>
      </w:pPr>
      <w:r>
        <w:t>7.3 必须保留样本路径，而不是从均值路径制造置信区间</w:t>
      </w:r>
    </w:p>
    <w:p>
      <w:r>
        <w:t xml:space="preserve">当前读取的生成代码在返回前对 </w:t>
      </w:r>
      <w:r>
        <w:rPr>
          <w:rFonts w:ascii="Carlito" w:hAnsi="Carlito" w:eastAsia="Noto Sans CJK SC"/>
          <w:color w:val="167A86"/>
        </w:rPr>
        <w:t>sample_count</w:t>
      </w:r>
      <w:r>
        <w:t xml:space="preserve"> 维度取均值。若要做概率研究，需要扩展一个返回所有样本路径的接口，同时保持原接口行为不变。</w:t>
      </w:r>
      <w:hyperlink w:anchor="ref03">
        <w:r>
          <w:rPr>
            <w:color w:val="167A86"/>
            <w:rFonts w:ascii="Carlito" w:hAnsi="Carlito" w:eastAsia="Noto Sans CJK SC"/>
            <w:sz w:val="19"/>
          </w:rPr>
          <w:t>[03]</w:t>
        </w:r>
      </w:hyperlink>
    </w:p>
    <w:p>
      <w:r>
        <w:t>均值路径的一根 K 线 high／low 不是跨样本预测区间；多条路径平均后的波动也不是预测分布的波动。应分别对每条路径计算收益或方差，再在路径之间统计分位数或期望。</w:t>
      </w:r>
    </w:p>
    <w:p>
      <w:r>
        <w:t>温度和 top-p 会改变模型采样分布。研究未截断模型分布时，以 T=1、top-p=1 为起点；这并不自动使概率正确。偏离这些设置需要在独立验证数据上解释和校准，不能将路径一致率直接称为真实胜率。</w:t>
      </w:r>
    </w:p>
    <w:p>
      <w:pPr>
        <w:pStyle w:val="Heading2"/>
      </w:pPr>
      <w:r>
        <w:t>7.4 校准与数据要求</w:t>
      </w:r>
    </w:p>
    <w:p>
      <w:r>
        <w:t>分类概率可检查 Brier 分数和可靠性曲线；区间预测检查覆盖率与区间宽度；分位数预测可用 pinball loss；正方差预测可使用预先约定的 QLIKE 形式。所有校准器仅在校准区间拟合，不能先看测试实现值再调整置信水平。</w:t>
      </w:r>
    </w:p>
    <w:p>
      <w:r>
        <w:t>样本路径之间的差异只代表当前生成器表达的分布，不完整反映模型错设、数据缺失和未知市场机制。更多 Monte Carlo 样本降低采样误差，不保证修复分布偏差。</w:t>
      </w:r>
    </w:p>
    <w:p>
      <w:pPr>
        <w:pStyle w:val="Heading2"/>
      </w:pPr>
      <w:r>
        <w:t>7.5 难度与退出标准</w:t>
      </w:r>
    </w:p>
    <w:p>
      <w:r>
        <w:t>风险头约 2–3／5；开放路径接口约 2／5，但多路径推理和校准的整体成本更高。只有区间更宽、覆盖更高，不足以说明预测更好；必须同时检查锐度和恰当评分。</w:t>
      </w:r>
    </w:p>
    <w:p>
      <w:r>
        <w:t>若始终无法优于简单风险模型，保留代码作为诊断工具即可。合成情景可以用于系统压力测试，但在合成市场里赚钱，不构成真实市场盈利证据。</w:t>
      </w:r>
    </w:p>
    <w:p>
      <w:pPr>
        <w:pStyle w:val="Heading1"/>
      </w:pPr>
      <w:bookmarkStart w:id="9" w:name="sec8"/>
      <w:r>
        <w:t>08 Crypto 原生状态：先做后融合</w:t>
      </w:r>
      <w:bookmarkEnd w:id="9"/>
    </w:p>
    <w:p>
      <w:pPr>
        <w:pStyle w:val="Heading2"/>
      </w:pPr>
      <w:r>
        <w:t>8.1 为什么比立即扩充 tokenizer 更合适</w:t>
      </w:r>
    </w:p>
    <w:p>
      <w:r>
        <w:t>外部状态可以扩大模型的信息集；重编码相同 OHLCVA 主要改变信息表达。二者有本质差异。但“有经济故事”的外部变量也可能没有可交易增益，因此仍需同任务消融。</w:t>
      </w:r>
    </w:p>
    <w:p>
      <w:r>
        <w:t>第一版把 Kronos 表征和外部状态拼接给小读出器。原 tokenizer 与主干不动。当前输入投影和 Predictor 围绕六通道实现，直接增加列不会自动形成可用的多模态模型。</w:t>
      </w:r>
      <w:hyperlink w:anchor="ref03">
        <w:r>
          <w:rPr>
            <w:color w:val="167A86"/>
            <w:rFonts w:ascii="Carlito" w:hAnsi="Carlito" w:eastAsia="Noto Sans CJK SC"/>
            <w:sz w:val="19"/>
          </w:rPr>
          <w:t>[03]</w:t>
        </w:r>
      </w:hyperlink>
    </w:p>
    <w:p>
      <w:pPr>
        <w:keepLines/>
        <w:spacing w:before="100" w:after="180" w:line="264" w:lineRule="auto"/>
        <w:jc w:val="center"/>
      </w:pPr>
      <m:oMathPara>
        <m:oMathParaPr>
          <m:jc m:val="center"/>
        </m:oMathParaPr>
        <m:oMath>
          <m:sSub>
            <m:e>
              <m:acc>
                <m:accPr>
                  <m:chr m:val="̂"/>
                </m:accPr>
                <m:e>
                  <m:r>
                    <m:t>y</m:t>
                  </m:r>
                </m:e>
              </m:acc>
            </m:e>
            <m:sub>
              <m:r>
                <m:t>t</m:t>
              </m:r>
            </m:sub>
          </m:sSub>
          <m:r>
            <m:rPr>
              <m:sty m:val="p"/>
            </m:rPr>
            <m:t>=</m:t>
          </m:r>
          <m:r>
            <m:t>g</m:t>
          </m:r>
          <m:d>
            <m:dPr>
              <m:begChr m:val="("/>
              <m:endChr m:val=")"/>
              <m:sepChr m:val=""/>
              <m:grow/>
            </m:dPr>
            <m:e>
              <m:d>
                <m:dPr>
                  <m:begChr m:val="["/>
                  <m:endChr m:val="]"/>
                  <m:sepChr m:val=""/>
                  <m:grow/>
                </m:dPr>
                <m:e>
                  <m:sSubSup>
                    <m:e>
                      <m:r>
                        <m:t>z</m:t>
                      </m:r>
                    </m:e>
                    <m:sub>
                      <m:r>
                        <m:t>t</m:t>
                      </m:r>
                    </m:sub>
                    <m:sup>
                      <m:r>
                        <m:rPr>
                          <m:sty m:val="p"/>
                        </m:rPr>
                        <m:t>K</m:t>
                      </m:r>
                      <m:r>
                        <m:rPr>
                          <m:sty m:val="p"/>
                        </m:rPr>
                        <m:t>r</m:t>
                      </m:r>
                      <m:r>
                        <m:rPr>
                          <m:sty m:val="p"/>
                        </m:rPr>
                        <m:t>o</m:t>
                      </m:r>
                      <m:r>
                        <m:rPr>
                          <m:sty m:val="p"/>
                        </m:rPr>
                        <m:t>n</m:t>
                      </m:r>
                      <m:r>
                        <m:rPr>
                          <m:sty m:val="p"/>
                        </m:rPr>
                        <m:t>o</m:t>
                      </m:r>
                      <m:r>
                        <m:rPr>
                          <m:sty m:val="p"/>
                        </m:rPr>
                        <m:t>s</m:t>
                      </m:r>
                    </m:sup>
                  </m:sSubSup>
                  <m:r>
                    <m:rPr>
                      <m:sty m:val="p"/>
                    </m:rPr>
                    <m:t>,</m:t>
                  </m:r>
                  <m:sSub>
                    <m:e>
                      <m:r>
                        <m:t>q</m:t>
                      </m:r>
                    </m:e>
                    <m:sub>
                      <m:r>
                        <m:t>t</m:t>
                      </m:r>
                    </m:sub>
                  </m:sSub>
                  <m:r>
                    <m:rPr>
                      <m:sty m:val="p"/>
                    </m:rPr>
                    <m:t>,</m:t>
                  </m:r>
                  <m:sSubSup>
                    <m:e>
                      <m:r>
                        <m:t>m</m:t>
                      </m:r>
                    </m:e>
                    <m:sub>
                      <m:r>
                        <m:t>t</m:t>
                      </m:r>
                    </m:sub>
                    <m:sup>
                      <m:r>
                        <m:rPr>
                          <m:sty m:val="p"/>
                        </m:rPr>
                        <m:t>m</m:t>
                      </m:r>
                      <m:r>
                        <m:rPr>
                          <m:sty m:val="p"/>
                        </m:rPr>
                        <m:t>i</m:t>
                      </m:r>
                      <m:r>
                        <m:rPr>
                          <m:sty m:val="p"/>
                        </m:rPr>
                        <m:t>s</m:t>
                      </m:r>
                      <m:r>
                        <m:rPr>
                          <m:sty m:val="p"/>
                        </m:rPr>
                        <m:t>s</m:t>
                      </m:r>
                      <m:r>
                        <m:rPr>
                          <m:sty m:val="p"/>
                        </m:rPr>
                        <m:t>i</m:t>
                      </m:r>
                      <m:r>
                        <m:rPr>
                          <m:sty m:val="p"/>
                        </m:rPr>
                        <m:t>n</m:t>
                      </m:r>
                      <m:r>
                        <m:rPr>
                          <m:sty m:val="p"/>
                        </m:rPr>
                        <m:t>g</m:t>
                      </m:r>
                    </m:sup>
                  </m:sSubSup>
                  <m:r>
                    <m:rPr>
                      <m:sty m:val="p"/>
                    </m:rPr>
                    <m:t>,</m:t>
                  </m:r>
                  <m:sSubSup>
                    <m:e>
                      <m:r>
                        <m:t>a</m:t>
                      </m:r>
                    </m:e>
                    <m:sub>
                      <m:r>
                        <m:t>t</m:t>
                      </m:r>
                    </m:sub>
                    <m:sup>
                      <m:r>
                        <m:rPr>
                          <m:sty m:val="p"/>
                        </m:rPr>
                        <m:t>a</m:t>
                      </m:r>
                      <m:r>
                        <m:rPr>
                          <m:sty m:val="p"/>
                        </m:rPr>
                        <m:t>g</m:t>
                      </m:r>
                      <m:r>
                        <m:rPr>
                          <m:sty m:val="p"/>
                        </m:rPr>
                        <m:t>e</m:t>
                      </m:r>
                    </m:sup>
                  </m:sSubSup>
                </m:e>
              </m:d>
            </m:e>
          </m:d>
        </m:oMath>
      </m:oMathPara>
    </w:p>
    <w:p>
      <w:r>
        <w:t>missing 表示缺失状态，age 表示该字段距最近可用更新的时长。它们用于区分“真实为零”和“没有信息”。</w:t>
      </w:r>
    </w:p>
    <w:p>
      <w:pPr>
        <w:pStyle w:val="Heading2"/>
      </w:pPr>
      <w:r>
        <w:t>8.2 分层增加字段</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327"/>
        <w:gridCol w:w="3781"/>
        <w:gridCol w:w="3587"/>
      </w:tblGrid>
      <w:tr>
        <w:trPr>
          <w:cantSplit/>
          <w:tblHeader/>
        </w:trPr>
        <w:tc>
          <w:tcPr>
            <w:tcW w:type="dxa" w:w="2327"/>
            <w:vAlign w:val="center"/>
            <w:tcMar>
              <w:top w:w="55" w:type="dxa"/>
              <w:bottom w:w="55" w:type="dxa"/>
              <w:left w:w="75" w:type="dxa"/>
              <w:right w:w="75" w:type="dxa"/>
            </w:tcMar>
            <w:shd w:fill="173444"/>
          </w:tcPr>
          <w:p>
            <w:pPr>
              <w:pStyle w:val="TableText"/>
              <w:keepNext/>
            </w:pPr>
            <w:r>
              <w:rPr>
                <w:b/>
                <w:color w:val="FFFFFF"/>
                <w:sz w:val="18"/>
              </w:rPr>
              <w:t>层级</w:t>
            </w:r>
          </w:p>
        </w:tc>
        <w:tc>
          <w:tcPr>
            <w:tcW w:type="dxa" w:w="3781"/>
            <w:vAlign w:val="center"/>
            <w:tcMar>
              <w:top w:w="55" w:type="dxa"/>
              <w:bottom w:w="55" w:type="dxa"/>
              <w:left w:w="75" w:type="dxa"/>
              <w:right w:w="75" w:type="dxa"/>
            </w:tcMar>
            <w:shd w:fill="173444"/>
          </w:tcPr>
          <w:p>
            <w:pPr>
              <w:pStyle w:val="TableText"/>
              <w:keepNext/>
            </w:pPr>
            <w:r>
              <w:rPr>
                <w:b/>
                <w:color w:val="FFFFFF"/>
                <w:sz w:val="18"/>
              </w:rPr>
              <w:t>建议候选</w:t>
            </w:r>
          </w:p>
        </w:tc>
        <w:tc>
          <w:tcPr>
            <w:tcW w:type="dxa" w:w="3587"/>
            <w:vAlign w:val="center"/>
            <w:tcMar>
              <w:top w:w="55" w:type="dxa"/>
              <w:bottom w:w="55" w:type="dxa"/>
              <w:left w:w="75" w:type="dxa"/>
              <w:right w:w="75" w:type="dxa"/>
            </w:tcMar>
            <w:shd w:fill="173444"/>
          </w:tcPr>
          <w:p>
            <w:pPr>
              <w:pStyle w:val="TableText"/>
              <w:keepNext/>
            </w:pPr>
            <w:r>
              <w:rPr>
                <w:b/>
                <w:color w:val="FFFFFF"/>
                <w:sz w:val="18"/>
              </w:rPr>
              <w:t>主要数据问题</w:t>
            </w:r>
          </w:p>
        </w:tc>
      </w:tr>
      <w:tr>
        <w:trPr>
          <w:cantSplit/>
        </w:trPr>
        <w:tc>
          <w:tcPr>
            <w:tcW w:type="dxa" w:w="2327"/>
            <w:vAlign w:val="center"/>
            <w:tcMar>
              <w:top w:w="55" w:type="dxa"/>
              <w:bottom w:w="55" w:type="dxa"/>
              <w:left w:w="75" w:type="dxa"/>
              <w:right w:w="75" w:type="dxa"/>
            </w:tcMar>
            <w:shd w:fill="FFFFFF"/>
          </w:tcPr>
          <w:p>
            <w:pPr>
              <w:pStyle w:val="TableText"/>
            </w:pPr>
            <w:r>
              <w:t>现有价量增强</w:t>
            </w:r>
          </w:p>
        </w:tc>
        <w:tc>
          <w:tcPr>
            <w:tcW w:type="dxa" w:w="3781"/>
            <w:vAlign w:val="center"/>
            <w:tcMar>
              <w:top w:w="55" w:type="dxa"/>
              <w:bottom w:w="55" w:type="dxa"/>
              <w:left w:w="75" w:type="dxa"/>
              <w:right w:w="75" w:type="dxa"/>
            </w:tcMar>
            <w:shd w:fill="FFFFFF"/>
          </w:tcPr>
          <w:p>
            <w:pPr>
              <w:pStyle w:val="TableText"/>
            </w:pPr>
            <w:r>
              <w:t>成交额、成交笔数、可信主动买卖量</w:t>
            </w:r>
          </w:p>
        </w:tc>
        <w:tc>
          <w:tcPr>
            <w:tcW w:type="dxa" w:w="3587"/>
            <w:vAlign w:val="center"/>
            <w:tcMar>
              <w:top w:w="55" w:type="dxa"/>
              <w:bottom w:w="55" w:type="dxa"/>
              <w:left w:w="75" w:type="dxa"/>
              <w:right w:w="75" w:type="dxa"/>
            </w:tcMar>
            <w:shd w:fill="FFFFFF"/>
          </w:tcPr>
          <w:p>
            <w:pPr>
              <w:pStyle w:val="TableText"/>
            </w:pPr>
            <w:r>
              <w:t>字段语义、聚合口径、零值与缺失</w:t>
            </w:r>
          </w:p>
        </w:tc>
      </w:tr>
      <w:tr>
        <w:trPr>
          <w:cantSplit/>
        </w:trPr>
        <w:tc>
          <w:tcPr>
            <w:tcW w:type="dxa" w:w="2327"/>
            <w:vAlign w:val="center"/>
            <w:tcMar>
              <w:top w:w="55" w:type="dxa"/>
              <w:bottom w:w="55" w:type="dxa"/>
              <w:left w:w="75" w:type="dxa"/>
              <w:right w:w="75" w:type="dxa"/>
            </w:tcMar>
            <w:shd w:fill="F2F6F8"/>
          </w:tcPr>
          <w:p>
            <w:pPr>
              <w:pStyle w:val="TableText"/>
            </w:pPr>
            <w:r>
              <w:t>合约状态</w:t>
            </w:r>
          </w:p>
        </w:tc>
        <w:tc>
          <w:tcPr>
            <w:tcW w:type="dxa" w:w="3781"/>
            <w:vAlign w:val="center"/>
            <w:tcMar>
              <w:top w:w="55" w:type="dxa"/>
              <w:bottom w:w="55" w:type="dxa"/>
              <w:left w:w="75" w:type="dxa"/>
              <w:right w:w="75" w:type="dxa"/>
            </w:tcMar>
            <w:shd w:fill="F2F6F8"/>
          </w:tcPr>
          <w:p>
            <w:pPr>
              <w:pStyle w:val="TableText"/>
            </w:pPr>
            <w:r>
              <w:t>OI、当时可得 funding 估计、basis、mark-index 差</w:t>
            </w:r>
          </w:p>
        </w:tc>
        <w:tc>
          <w:tcPr>
            <w:tcW w:type="dxa" w:w="3587"/>
            <w:vAlign w:val="center"/>
            <w:tcMar>
              <w:top w:w="55" w:type="dxa"/>
              <w:bottom w:w="55" w:type="dxa"/>
              <w:left w:w="75" w:type="dxa"/>
              <w:right w:w="75" w:type="dxa"/>
            </w:tcMar>
            <w:shd w:fill="F2F6F8"/>
          </w:tcPr>
          <w:p>
            <w:pPr>
              <w:pStyle w:val="TableText"/>
            </w:pPr>
            <w:r>
              <w:t>历史覆盖、发布时间、合约单位</w:t>
            </w:r>
          </w:p>
        </w:tc>
      </w:tr>
      <w:tr>
        <w:trPr>
          <w:cantSplit/>
        </w:trPr>
        <w:tc>
          <w:tcPr>
            <w:tcW w:type="dxa" w:w="2327"/>
            <w:vAlign w:val="center"/>
            <w:tcMar>
              <w:top w:w="55" w:type="dxa"/>
              <w:bottom w:w="55" w:type="dxa"/>
              <w:left w:w="75" w:type="dxa"/>
              <w:right w:w="75" w:type="dxa"/>
            </w:tcMar>
            <w:shd w:fill="FFFFFF"/>
          </w:tcPr>
          <w:p>
            <w:pPr>
              <w:pStyle w:val="TableText"/>
            </w:pPr>
            <w:r>
              <w:t>联合市场状态</w:t>
            </w:r>
          </w:p>
        </w:tc>
        <w:tc>
          <w:tcPr>
            <w:tcW w:type="dxa" w:w="3781"/>
            <w:vAlign w:val="center"/>
            <w:tcMar>
              <w:top w:w="55" w:type="dxa"/>
              <w:bottom w:w="55" w:type="dxa"/>
              <w:left w:w="75" w:type="dxa"/>
              <w:right w:w="75" w:type="dxa"/>
            </w:tcMar>
            <w:shd w:fill="FFFFFF"/>
          </w:tcPr>
          <w:p>
            <w:pPr>
              <w:pStyle w:val="TableText"/>
            </w:pPr>
            <w:r>
              <w:t>现货／永续相对流量、跨场所价差</w:t>
            </w:r>
          </w:p>
        </w:tc>
        <w:tc>
          <w:tcPr>
            <w:tcW w:type="dxa" w:w="3587"/>
            <w:vAlign w:val="center"/>
            <w:tcMar>
              <w:top w:w="55" w:type="dxa"/>
              <w:bottom w:w="55" w:type="dxa"/>
              <w:left w:w="75" w:type="dxa"/>
              <w:right w:w="75" w:type="dxa"/>
            </w:tcMar>
            <w:shd w:fill="FFFFFF"/>
          </w:tcPr>
          <w:p>
            <w:pPr>
              <w:pStyle w:val="TableText"/>
            </w:pPr>
            <w:r>
              <w:t>同步时钟、报价币种和延迟</w:t>
            </w:r>
          </w:p>
        </w:tc>
      </w:tr>
      <w:tr>
        <w:trPr>
          <w:cantSplit/>
        </w:trPr>
        <w:tc>
          <w:tcPr>
            <w:tcW w:type="dxa" w:w="2327"/>
            <w:vAlign w:val="center"/>
            <w:tcMar>
              <w:top w:w="55" w:type="dxa"/>
              <w:bottom w:w="55" w:type="dxa"/>
              <w:left w:w="75" w:type="dxa"/>
              <w:right w:w="75" w:type="dxa"/>
            </w:tcMar>
            <w:shd w:fill="F2F6F8"/>
          </w:tcPr>
          <w:p>
            <w:pPr>
              <w:pStyle w:val="TableText"/>
            </w:pPr>
            <w:r>
              <w:t>高频／事件状态</w:t>
            </w:r>
          </w:p>
        </w:tc>
        <w:tc>
          <w:tcPr>
            <w:tcW w:type="dxa" w:w="3781"/>
            <w:vAlign w:val="center"/>
            <w:tcMar>
              <w:top w:w="55" w:type="dxa"/>
              <w:bottom w:w="55" w:type="dxa"/>
              <w:left w:w="75" w:type="dxa"/>
              <w:right w:w="75" w:type="dxa"/>
            </w:tcMar>
            <w:shd w:fill="F2F6F8"/>
          </w:tcPr>
          <w:p>
            <w:pPr>
              <w:pStyle w:val="TableText"/>
            </w:pPr>
            <w:r>
              <w:t>LOB、逐笔流、清算消息</w:t>
            </w:r>
          </w:p>
        </w:tc>
        <w:tc>
          <w:tcPr>
            <w:tcW w:type="dxa" w:w="3587"/>
            <w:vAlign w:val="center"/>
            <w:tcMar>
              <w:top w:w="55" w:type="dxa"/>
              <w:bottom w:w="55" w:type="dxa"/>
              <w:left w:w="75" w:type="dxa"/>
              <w:right w:w="75" w:type="dxa"/>
            </w:tcMar>
            <w:shd w:fill="F2F6F8"/>
          </w:tcPr>
          <w:p>
            <w:pPr>
              <w:pStyle w:val="TableText"/>
            </w:pPr>
            <w:r>
              <w:t>数据量、完整性、源间可比性</w:t>
            </w:r>
          </w:p>
        </w:tc>
      </w:tr>
    </w:tbl>
    <w:p>
      <w:pPr>
        <w:spacing w:after="0" w:before="0" w:line="80" w:lineRule="exact"/>
      </w:pPr>
      <w:r>
        <w:rPr>
          <w:sz w:val="4"/>
        </w:rPr>
      </w:r>
    </w:p>
    <w:p>
      <w:r>
        <w:t>不要一次接入全部字段。先选能追溯历史、语义稳定、与主要假设直接相关的一组，再扩展。清算消息的记录不能自动当成全市场完整清算量。</w:t>
      </w:r>
    </w:p>
    <w:p>
      <w:pPr>
        <w:pStyle w:val="Heading2"/>
      </w:pPr>
      <w:r>
        <w:t>8.3 数据可用性常常是主要工程</w:t>
      </w:r>
    </w:p>
    <w:p>
      <w:r>
        <w:t>核验时，Binance USDⓈ-M 的 OI 历史统计 REST 文档仍注明仅提供最近一个月。这个事实只描述该接口，不代表全部渠道都没有长历史；但不能假设调用它即可补齐几年样本。</w:t>
      </w:r>
      <w:hyperlink w:anchor="ref11">
        <w:r>
          <w:rPr>
            <w:color w:val="167A86"/>
            <w:rFonts w:ascii="Carlito" w:hAnsi="Carlito" w:eastAsia="Noto Sans CJK SC"/>
            <w:sz w:val="19"/>
          </w:rPr>
          <w:t>[11]</w:t>
        </w:r>
      </w:hyperlink>
    </w:p>
    <w:p>
      <w:r>
        <w:t>每个字段要区分事件时间、实际可用时间和采集时间。资金费率的事前估计、已公告参数和最终结算值不可混用。OI 还需区分合约数量、币本位数量和名义价值，否则价格上涨就可能机械性抬高名义 OI。</w:t>
      </w:r>
    </w:p>
    <w:p>
      <w:r>
        <w:t>缺失数据只能按预先约定的因果规则处理。禁止用未来值反向填充；长时间缺失应触发质量标记或停止使用该分支，而不是无限沿用旧值。</w:t>
      </w:r>
    </w:p>
    <w:p>
      <w:pPr>
        <w:pStyle w:val="Heading2"/>
      </w:pPr>
      <w:r>
        <w:t>8.4 必须做的四格消融</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327"/>
        <w:gridCol w:w="3781"/>
        <w:gridCol w:w="3587"/>
      </w:tblGrid>
      <w:tr>
        <w:trPr>
          <w:cantSplit/>
          <w:tblHeader/>
        </w:trPr>
        <w:tc>
          <w:tcPr>
            <w:tcW w:type="dxa" w:w="2327"/>
            <w:vAlign w:val="center"/>
            <w:tcMar>
              <w:top w:w="55" w:type="dxa"/>
              <w:bottom w:w="55" w:type="dxa"/>
              <w:left w:w="75" w:type="dxa"/>
              <w:right w:w="75" w:type="dxa"/>
            </w:tcMar>
            <w:shd w:fill="173444"/>
          </w:tcPr>
          <w:p>
            <w:pPr>
              <w:pStyle w:val="TableText"/>
              <w:keepNext/>
            </w:pPr>
            <w:r>
              <w:rPr>
                <w:b/>
                <w:color w:val="FFFFFF"/>
                <w:sz w:val="18"/>
              </w:rPr>
            </w:r>
          </w:p>
        </w:tc>
        <w:tc>
          <w:tcPr>
            <w:tcW w:type="dxa" w:w="3781"/>
            <w:vAlign w:val="center"/>
            <w:tcMar>
              <w:top w:w="55" w:type="dxa"/>
              <w:bottom w:w="55" w:type="dxa"/>
              <w:left w:w="75" w:type="dxa"/>
              <w:right w:w="75" w:type="dxa"/>
            </w:tcMar>
            <w:shd w:fill="173444"/>
          </w:tcPr>
          <w:p>
            <w:pPr>
              <w:pStyle w:val="TableText"/>
              <w:keepNext/>
            </w:pPr>
            <w:r>
              <w:rPr>
                <w:b/>
                <w:color w:val="FFFFFF"/>
                <w:sz w:val="18"/>
              </w:rPr>
              <w:t>无外部状态</w:t>
            </w:r>
          </w:p>
        </w:tc>
        <w:tc>
          <w:tcPr>
            <w:tcW w:type="dxa" w:w="3587"/>
            <w:vAlign w:val="center"/>
            <w:tcMar>
              <w:top w:w="55" w:type="dxa"/>
              <w:bottom w:w="55" w:type="dxa"/>
              <w:left w:w="75" w:type="dxa"/>
              <w:right w:w="75" w:type="dxa"/>
            </w:tcMar>
            <w:shd w:fill="173444"/>
          </w:tcPr>
          <w:p>
            <w:pPr>
              <w:pStyle w:val="TableText"/>
              <w:keepNext/>
            </w:pPr>
            <w:r>
              <w:rPr>
                <w:b/>
                <w:color w:val="FFFFFF"/>
                <w:sz w:val="18"/>
              </w:rPr>
              <w:t>有外部状态</w:t>
            </w:r>
          </w:p>
        </w:tc>
      </w:tr>
      <w:tr>
        <w:trPr>
          <w:cantSplit/>
        </w:trPr>
        <w:tc>
          <w:tcPr>
            <w:tcW w:type="dxa" w:w="2327"/>
            <w:vAlign w:val="center"/>
            <w:tcMar>
              <w:top w:w="55" w:type="dxa"/>
              <w:bottom w:w="55" w:type="dxa"/>
              <w:left w:w="75" w:type="dxa"/>
              <w:right w:w="75" w:type="dxa"/>
            </w:tcMar>
            <w:shd w:fill="FFFFFF"/>
          </w:tcPr>
          <w:p>
            <w:pPr>
              <w:pStyle w:val="TableText"/>
            </w:pPr>
            <w:r>
              <w:t>无 Kronos</w:t>
            </w:r>
          </w:p>
        </w:tc>
        <w:tc>
          <w:tcPr>
            <w:tcW w:type="dxa" w:w="3781"/>
            <w:vAlign w:val="center"/>
            <w:tcMar>
              <w:top w:w="55" w:type="dxa"/>
              <w:bottom w:w="55" w:type="dxa"/>
              <w:left w:w="75" w:type="dxa"/>
              <w:right w:w="75" w:type="dxa"/>
            </w:tcMar>
            <w:shd w:fill="FFFFFF"/>
          </w:tcPr>
          <w:p>
            <w:pPr>
              <w:pStyle w:val="TableText"/>
            </w:pPr>
            <w:r>
              <w:t>普通特征基线</w:t>
            </w:r>
          </w:p>
        </w:tc>
        <w:tc>
          <w:tcPr>
            <w:tcW w:type="dxa" w:w="3587"/>
            <w:vAlign w:val="center"/>
            <w:tcMar>
              <w:top w:w="55" w:type="dxa"/>
              <w:bottom w:w="55" w:type="dxa"/>
              <w:left w:w="75" w:type="dxa"/>
              <w:right w:w="75" w:type="dxa"/>
            </w:tcMar>
            <w:shd w:fill="FFFFFF"/>
          </w:tcPr>
          <w:p>
            <w:pPr>
              <w:pStyle w:val="TableText"/>
            </w:pPr>
            <w:r>
              <w:t>普通特征 + 状态数据</w:t>
            </w:r>
          </w:p>
        </w:tc>
      </w:tr>
      <w:tr>
        <w:trPr>
          <w:cantSplit/>
        </w:trPr>
        <w:tc>
          <w:tcPr>
            <w:tcW w:type="dxa" w:w="2327"/>
            <w:vAlign w:val="center"/>
            <w:tcMar>
              <w:top w:w="55" w:type="dxa"/>
              <w:bottom w:w="55" w:type="dxa"/>
              <w:left w:w="75" w:type="dxa"/>
              <w:right w:w="75" w:type="dxa"/>
            </w:tcMar>
            <w:shd w:fill="F2F6F8"/>
          </w:tcPr>
          <w:p>
            <w:pPr>
              <w:pStyle w:val="TableText"/>
            </w:pPr>
            <w:r>
              <w:t>有 Kronos</w:t>
            </w:r>
          </w:p>
        </w:tc>
        <w:tc>
          <w:tcPr>
            <w:tcW w:type="dxa" w:w="3781"/>
            <w:vAlign w:val="center"/>
            <w:tcMar>
              <w:top w:w="55" w:type="dxa"/>
              <w:bottom w:w="55" w:type="dxa"/>
              <w:left w:w="75" w:type="dxa"/>
              <w:right w:w="75" w:type="dxa"/>
            </w:tcMar>
            <w:shd w:fill="F2F6F8"/>
          </w:tcPr>
          <w:p>
            <w:pPr>
              <w:pStyle w:val="TableText"/>
            </w:pPr>
            <w:r>
              <w:t>普通特征 + Kronos</w:t>
            </w:r>
          </w:p>
        </w:tc>
        <w:tc>
          <w:tcPr>
            <w:tcW w:type="dxa" w:w="3587"/>
            <w:vAlign w:val="center"/>
            <w:tcMar>
              <w:top w:w="55" w:type="dxa"/>
              <w:bottom w:w="55" w:type="dxa"/>
              <w:left w:w="75" w:type="dxa"/>
              <w:right w:w="75" w:type="dxa"/>
            </w:tcMar>
            <w:shd w:fill="F2F6F8"/>
          </w:tcPr>
          <w:p>
            <w:pPr>
              <w:pStyle w:val="TableText"/>
            </w:pPr>
            <w:r>
              <w:t>普通特征 + 状态数据 + Kronos</w:t>
            </w:r>
          </w:p>
        </w:tc>
      </w:tr>
    </w:tbl>
    <w:p>
      <w:pPr>
        <w:spacing w:after="0" w:before="0" w:line="80" w:lineRule="exact"/>
      </w:pPr>
      <w:r>
        <w:rPr>
          <w:sz w:val="4"/>
        </w:rPr>
      </w:r>
    </w:p>
    <w:p>
      <w:r>
        <w:t>所有格子使用可比的历史区间。新增字段可能缩短可用历史；不能拿更容易的短时期与困难的长时期比较。最好同时报告共同交集区间和各自完整区间。</w:t>
      </w:r>
    </w:p>
    <w:p>
      <w:r>
        <w:t>工程难度：模型侧约 2／5，数据侧约 2–4／5。若新增数据解释了全部增益，而 Kronos 没有贡献，应保留后融合数据框架、简化模型。</w:t>
      </w:r>
    </w:p>
    <w:p>
      <w:pPr>
        <w:pStyle w:val="Heading1"/>
      </w:pPr>
      <w:bookmarkStart w:id="10" w:name="sec9"/>
      <w:r>
        <w:t>09 Crypto 继续训练与成交密度加权</w:t>
      </w:r>
      <w:bookmarkEnd w:id="10"/>
    </w:p>
    <w:p>
      <w:pPr>
        <w:pStyle w:val="Heading2"/>
      </w:pPr>
      <w:r>
        <w:t>9.1 继续训练具体要适配什么</w:t>
      </w:r>
    </w:p>
    <w:p>
      <w:r>
        <w:t>继续训练应明确针对标的集合、交易所／产品类型、时间粒度、近期分布或目标相关表征。不能仅用“更多 crypto 数据”作研究假设，因为原模型已经有大量此类预训练样本。</w:t>
      </w:r>
      <w:hyperlink w:anchor="ref01">
        <w:r>
          <w:rPr>
            <w:color w:val="167A86"/>
            <w:rFonts w:ascii="Carlito" w:hAnsi="Carlito" w:eastAsia="Noto Sans CJK SC"/>
            <w:sz w:val="19"/>
          </w:rPr>
          <w:t>[01]</w:t>
        </w:r>
      </w:hyperlink>
    </w:p>
    <w:p>
      <w:r>
        <w:t>第一轮固定 tokenizer，仅训练自回归骨干；然后用完全相同的下游头和验证方案比较继续训练前后。官方训练脚本已有 tokenizer 与 predictor 分离的结构，因此可以复用接口，但仍需建设自己的时间切分和数据审计。</w:t>
      </w:r>
      <w:hyperlink w:anchor="ref06">
        <w:r>
          <w:rPr>
            <w:color w:val="167A86"/>
            <w:rFonts w:ascii="Carlito" w:hAnsi="Carlito" w:eastAsia="Noto Sans CJK SC"/>
            <w:sz w:val="19"/>
          </w:rPr>
          <w:t>[06]</w:t>
        </w:r>
      </w:hyperlink>
    </w:p>
    <w:p>
      <w:pPr>
        <w:pStyle w:val="Heading2"/>
      </w:pPr>
      <w:r>
        <w:t>9.2 推荐实验顺序</w:t>
      </w:r>
    </w:p>
    <w:p>
      <w:r>
        <w:t>先比较冻结原权重与固定 tokenizer 的继续训练；再比较有无少量旧分布回放或温和正则；最后才考虑 tokenizer 适配。每步保持下游任务不变。自回归验证损失下降但下游收益不变，是一种完全可能的结果，不应被掩盖。</w:t>
      </w:r>
    </w:p>
    <w:p>
      <w:r>
        <w:t>抽样至少按资产、时间和产品类别检查。不能让最活跃的大币或最近一段剧烈行情占据全部训练预算；现货和永续也不能因为字段数量一致就不加区分地拼接成一条序列。</w:t>
      </w:r>
    </w:p>
    <w:p>
      <w:r>
        <w:t>超参数由内层验证确定。学习率、训练步数和早停都属于试验自由度；不能根据外层测试收益反复选择 checkpoint。</w:t>
      </w:r>
    </w:p>
    <w:p>
      <w:pPr>
        <w:pStyle w:val="Heading2"/>
      </w:pPr>
      <w:r>
        <w:t>9.3 特别审计：归一化与自回归训练位置</w:t>
      </w:r>
    </w:p>
    <w:p>
      <w:r>
        <w:t>当前微调数据集使用 lookback 段的统计量归一化整个训练窗口，这是相对于 lookback 末端决策点的合理方向。</w:t>
      </w:r>
      <w:hyperlink w:anchor="ref05">
        <w:r>
          <w:rPr>
            <w:color w:val="167A86"/>
            <w:rFonts w:ascii="Carlito" w:hAnsi="Carlito" w:eastAsia="Noto Sans CJK SC"/>
            <w:sz w:val="19"/>
          </w:rPr>
          <w:t>[05]</w:t>
        </w:r>
      </w:hyperlink>
      <w:hyperlink w:anchor="ref07">
        <w:r>
          <w:rPr>
            <w:color w:val="167A86"/>
            <w:rFonts w:ascii="Carlito" w:hAnsi="Carlito" w:eastAsia="Noto Sans CJK SC"/>
            <w:sz w:val="19"/>
          </w:rPr>
          <w:t>[07]</w:t>
        </w:r>
      </w:hyperlink>
    </w:p>
    <w:p>
      <w:r>
        <w:t>但若把同一窗口中更早位置的 hidden state 当成“那个早期时点的实时特征”，它可能已使用窗口后部参与计算的统计量。因果 attention 本身不能修复预处理引入的这种时间问题。</w:t>
      </w:r>
    </w:p>
    <w:p>
      <w:r>
        <w:t>对继续训练，需明确“给定完整前缀预测后缀”与“每个位置都代表可交易预测原点”的区别。本方案建议审计后缀损失掩码，或者使用逐原点因果标准化；不能只因整个张量没有显式未来列就认为全部训练位置等价。这个判断是对代码组合的工程审计建议，不是关于原论文训练流程的定论。</w:t>
      </w:r>
    </w:p>
    <w:p>
      <w:pPr>
        <w:pStyle w:val="Heading2"/>
        <w:pageBreakBefore/>
      </w:pPr>
      <w:r>
        <w:t>9.4 成交密度的三种用法</w:t>
      </w:r>
    </w:p>
    <w:p>
      <w:r>
        <w:t>增加成交活跃度特征，是告诉模型当前活动状态；按活跃度加权损失，是重新分配拟合资源；事件条重采样，是改变时间轴和预测任务。三者要分别测试。</w:t>
      </w:r>
    </w:p>
    <w:p>
      <w:r>
        <w:t>对监督读出器，可先使用只依赖历史信息的温和权重：</w:t>
      </w:r>
    </w:p>
    <w:p>
      <w:pPr>
        <w:keepLines/>
        <w:spacing w:before="100" w:after="180" w:line="264" w:lineRule="auto"/>
        <w:jc w:val="center"/>
      </w:pPr>
      <m:oMathPara>
        <m:oMathParaPr>
          <m:jc m:val="center"/>
        </m:oMathParaPr>
        <m:oMath>
          <m:sSub>
            <m:e>
              <m:r>
                <m:t>u</m:t>
              </m:r>
            </m:e>
            <m:sub>
              <m:r>
                <m:t>t</m:t>
              </m:r>
            </m:sub>
          </m:sSub>
          <m:r>
            <m:rPr>
              <m:sty m:val="p"/>
            </m:rPr>
            <m:t>=</m:t>
          </m:r>
          <m:r>
            <m:rPr>
              <m:sty m:val="p"/>
            </m:rPr>
            <m:t>clip</m:t>
          </m:r>
          <m:d>
            <m:dPr>
              <m:begChr m:val="["/>
              <m:endChr m:val="]"/>
              <m:sepChr m:val=""/>
              <m:grow/>
            </m:dPr>
            <m:e>
              <m:sSup>
                <m:e>
                  <m:d>
                    <m:dPr>
                      <m:begChr m:val="("/>
                      <m:endChr m:val=")"/>
                      <m:sepChr m:val=""/>
                      <m:grow/>
                    </m:dPr>
                    <m:e>
                      <m:f>
                        <m:fPr>
                          <m:type m:val="bar"/>
                        </m:fPr>
                        <m:num>
                          <m:sSub>
                            <m:e>
                              <m:r>
                                <m:t>A</m:t>
                              </m:r>
                            </m:e>
                            <m:sub>
                              <m:r>
                                <m:t>t</m:t>
                              </m:r>
                            </m:sub>
                          </m:sSub>
                        </m:num>
                        <m:den>
                          <m:sSub>
                            <m:e>
                              <m:r>
                                <m:rPr>
                                  <m:sty m:val="p"/>
                                </m:rPr>
                                <m:t>EMA</m:t>
                              </m:r>
                            </m:e>
                            <m:sub>
                              <m:r>
                                <m:t>t</m:t>
                              </m:r>
                              <m:r>
                                <m:rPr>
                                  <m:sty m:val="p"/>
                                </m:rPr>
                                <m:t>−</m:t>
                              </m:r>
                              <m:r>
                                <m:t>1</m:t>
                              </m:r>
                            </m:sub>
                          </m:sSub>
                          <m:d>
                            <m:dPr>
                              <m:begChr m:val="("/>
                              <m:endChr m:val=")"/>
                              <m:sepChr m:val=""/>
                              <m:grow/>
                            </m:dPr>
                            <m:e>
                              <m:r>
                                <m:t>A</m:t>
                              </m:r>
                            </m:e>
                          </m:d>
                          <m:r>
                            <m:rPr>
                              <m:sty m:val="p"/>
                            </m:rPr>
                            <m:t>+</m:t>
                          </m:r>
                          <m:r>
                            <m:t>ϵ</m:t>
                          </m:r>
                        </m:den>
                      </m:f>
                    </m:e>
                  </m:d>
                </m:e>
                <m:sup>
                  <m:r>
                    <m:t>γ</m:t>
                  </m:r>
                </m:sup>
              </m:sSup>
              <m:r>
                <m:rPr>
                  <m:sty m:val="p"/>
                </m:rPr>
                <m:t>,</m:t>
              </m:r>
              <m:sSub>
                <m:e>
                  <m:r>
                    <m:t>u</m:t>
                  </m:r>
                </m:e>
                <m:sub>
                  <m:r>
                    <m:rPr>
                      <m:sty m:val="p"/>
                    </m:rPr>
                    <m:t>min</m:t>
                  </m:r>
                </m:sub>
              </m:sSub>
              <m:r>
                <m:rPr>
                  <m:sty m:val="p"/>
                </m:rPr>
                <m:t>,</m:t>
              </m:r>
              <m:sSub>
                <m:e>
                  <m:r>
                    <m:t>u</m:t>
                  </m:r>
                </m:e>
                <m:sub>
                  <m:r>
                    <m:rPr>
                      <m:sty m:val="p"/>
                    </m:rPr>
                    <m:t>max</m:t>
                  </m:r>
                </m:sub>
              </m:sSub>
            </m:e>
          </m:d>
          <m:r>
            <m:rPr>
              <m:sty m:val="p"/>
            </m:rPr>
            <m:t>,</m:t>
          </m:r>
          <m:r>
            <m:t> </m:t>
          </m:r>
          <m:r>
            <m:rPr>
              <m:sty m:val="p"/>
              <m:scr m:val="script"/>
            </m:rPr>
            <m:t>L</m:t>
          </m:r>
          <m:r>
            <m:rPr>
              <m:sty m:val="p"/>
            </m:rPr>
            <m:t>=</m:t>
          </m:r>
          <m:f>
            <m:fPr>
              <m:type m:val="bar"/>
            </m:fPr>
            <m:num>
              <m:nary>
                <m:naryPr>
                  <m:chr m:val="∑"/>
                  <m:limLoc m:val="undOvr"/>
                  <m:subHide m:val="off"/>
                  <m:supHide m:val="on"/>
                </m:naryPr>
                <m:sub>
                  <m:r>
                    <m:t>t</m:t>
                  </m:r>
                </m:sub>
                <m:sup>
                  <m:r>
                    <m:t>​</m:t>
                  </m:r>
                </m:sup>
                <m:e>
                  <m:sSub>
                    <m:e>
                      <m:r>
                        <m:t>u</m:t>
                      </m:r>
                    </m:e>
                    <m:sub>
                      <m:r>
                        <m:t>t</m:t>
                      </m:r>
                    </m:sub>
                  </m:sSub>
                </m:e>
              </m:nary>
              <m:sSub>
                <m:e>
                  <m:r>
                    <m:rPr>
                      <m:sty m:val="p"/>
                    </m:rPr>
                    <m:t>ℓ</m:t>
                  </m:r>
                </m:e>
                <m:sub>
                  <m:r>
                    <m:t>t</m:t>
                  </m:r>
                </m:sub>
              </m:sSub>
            </m:num>
            <m:den>
              <m:nary>
                <m:naryPr>
                  <m:chr m:val="∑"/>
                  <m:limLoc m:val="undOvr"/>
                  <m:subHide m:val="off"/>
                  <m:supHide m:val="on"/>
                </m:naryPr>
                <m:sub>
                  <m:r>
                    <m:t>t</m:t>
                  </m:r>
                </m:sub>
                <m:sup>
                  <m:r>
                    <m:t>​</m:t>
                  </m:r>
                </m:sup>
                <m:e>
                  <m:sSub>
                    <m:e>
                      <m:r>
                        <m:t>u</m:t>
                      </m:r>
                    </m:e>
                    <m:sub>
                      <m:r>
                        <m:t>t</m:t>
                      </m:r>
                    </m:sub>
                  </m:sSub>
                </m:e>
              </m:nary>
            </m:den>
          </m:f>
        </m:oMath>
      </m:oMathPara>
    </w:p>
    <w:p>
      <w:r>
        <w:t>A 是截至决策时已完成窗口的成交额；也可以另行研究成交笔数，但不能无休止搜索权重形式。权重上下限和 gamma 由内层验证决定。</w:t>
      </w:r>
    </w:p>
    <w:p>
      <w:r>
        <w:t>若权重仅依赖输入，理想无限数据与充分模型容量下，它不会改变真实条件分布；在有限资源下，它改变模型优先学好哪些区域。因而，加权是资源分配假设，不是新增市场信息。</w:t>
      </w:r>
    </w:p>
    <w:p>
      <w:pPr>
        <w:pStyle w:val="Heading2"/>
      </w:pPr>
      <w:r>
        <w:t>9.5 两个实现陷阱</w:t>
      </w:r>
    </w:p>
    <w:p>
      <w:r>
        <w:t>第一，不能把整个训练窗口末端的活跃度权重无条件应用于更早 token 的预测损失，而又将其描述为每个预测原点都只依赖过去。若训练目标就是按事后活跃事件强调样本，应明确它改变了目标分布，并防止这种权重进入推理信息。</w:t>
      </w:r>
    </w:p>
    <w:p>
      <w:r>
        <w:t>第二，按成交额采样和按成交额加权会叠加，可能重复强调同一批样本。若已经在事件条上近似均衡成交额，再按成交额强加权，也可能无意改变预期目标。</w:t>
      </w:r>
    </w:p>
    <w:p>
      <w:r>
        <w:t xml:space="preserve">可报告权重集中度及独立加权近似量 </w:t>
      </w:r>
      <w:r>
        <w:rPr>
          <w:rFonts w:ascii="Carlito" w:hAnsi="Carlito" w:eastAsia="Noto Sans CJK SC"/>
          <w:color w:val="167A86"/>
        </w:rPr>
        <w:t>(sum u)^2 / sum(u^2)</w:t>
      </w:r>
      <w:r>
        <w:t>，但这个量不考虑时间自相关，不能当作真实独立交易数。</w:t>
      </w:r>
    </w:p>
    <w:p>
      <w:pPr>
        <w:pStyle w:val="Heading2"/>
      </w:pPr>
      <w:r>
        <w:t>9.6 难度与停止条件</w:t>
      </w:r>
    </w:p>
    <w:p>
      <w:r>
        <w:t>固定 tokenizer 的继续训练约 2–3／5，算力负担中等；加权损失在现有训练器上的增量较小，整体约 2／5。评估仍在原定交易时钟上进行，不只报告加权验证 loss。</w:t>
      </w:r>
    </w:p>
    <w:p>
      <w:r>
        <w:t>若继续训练仅降低 token loss，或加权收益完全依赖少数高活跃时段，应停止扩大训练规模，先查明分布与目标是否匹配。</w:t>
      </w:r>
    </w:p>
    <w:p>
      <w:pPr>
        <w:pStyle w:val="Heading1"/>
      </w:pPr>
      <w:bookmarkStart w:id="11" w:name="sec10"/>
      <w:r>
        <w:t>10 横截面排序与组合层</w:t>
      </w:r>
      <w:bookmarkEnd w:id="11"/>
    </w:p>
    <w:p>
      <w:pPr>
        <w:pStyle w:val="Heading2"/>
      </w:pPr>
      <w:r>
        <w:t>10.1 这是替代研究分支，不是必然更优的答案</w:t>
      </w:r>
    </w:p>
    <w:p>
      <w:r>
        <w:t>横截面模型回答同一时刻哪些资产未来相对更强；单资产方向模型回答该资产未来涨跌。两者需要不同标签、取样和组合解释。论文某些 RankIC 结果不能直接作为 crypto 横截面优势的证据。</w:t>
      </w:r>
      <w:hyperlink w:anchor="ref01">
        <w:r>
          <w:rPr>
            <w:color w:val="167A86"/>
            <w:rFonts w:ascii="Carlito" w:hAnsi="Carlito" w:eastAsia="Noto Sans CJK SC"/>
            <w:sz w:val="19"/>
          </w:rPr>
          <w:t>[01]</w:t>
        </w:r>
      </w:hyperlink>
    </w:p>
    <w:p>
      <w:r>
        <w:t>同一时点分别编码各资产，再训练共享评分头即可做第一版，不必先加入跨资产 attention。配对排序损失可以围绕同一时点、相同持有期的收益差构造：</w:t>
      </w:r>
    </w:p>
    <w:p>
      <w:pPr>
        <w:keepLines/>
        <w:spacing w:before="100" w:after="180" w:line="264" w:lineRule="auto"/>
        <w:jc w:val="center"/>
      </w:pPr>
      <m:oMathPara>
        <m:oMathParaPr>
          <m:jc m:val="center"/>
        </m:oMathParaPr>
        <m:oMath>
          <m:sSub>
            <m:e>
              <m:r>
                <m:rPr>
                  <m:sty m:val="p"/>
                  <m:scr m:val="script"/>
                </m:rPr>
                <m:t>L</m:t>
              </m:r>
            </m:e>
            <m:sub>
              <m:r>
                <m:rPr>
                  <m:sty m:val="p"/>
                </m:rPr>
                <m:t>r</m:t>
              </m:r>
              <m:r>
                <m:rPr>
                  <m:sty m:val="p"/>
                </m:rPr>
                <m:t>a</m:t>
              </m:r>
              <m:r>
                <m:rPr>
                  <m:sty m:val="p"/>
                </m:rPr>
                <m:t>n</m:t>
              </m:r>
              <m:r>
                <m:rPr>
                  <m:sty m:val="p"/>
                </m:rPr>
                <m:t>k</m:t>
              </m:r>
            </m:sub>
          </m:sSub>
          <m:r>
            <m:rPr>
              <m:sty m:val="p"/>
            </m:rPr>
            <m:t>=</m:t>
          </m:r>
          <m:nary>
            <m:naryPr>
              <m:chr m:val="∑"/>
              <m:limLoc m:val="undOvr"/>
              <m:subHide m:val="off"/>
              <m:supHide m:val="on"/>
            </m:naryPr>
            <m:sub>
              <m:r>
                <m:t>t</m:t>
              </m:r>
              <m:r>
                <m:rPr>
                  <m:sty m:val="p"/>
                </m:rPr>
                <m:t>,</m:t>
              </m:r>
              <m:r>
                <m:t>i</m:t>
              </m:r>
              <m:r>
                <m:rPr>
                  <m:sty m:val="p"/>
                </m:rPr>
                <m:t>,</m:t>
              </m:r>
              <m:r>
                <m:t>j</m:t>
              </m:r>
            </m:sub>
            <m:sup>
              <m:r>
                <m:t>​</m:t>
              </m:r>
            </m:sup>
            <m:e>
              <m:r>
                <m:rPr>
                  <m:sty m:val="p"/>
                </m:rPr>
                <m:t>log</m:t>
              </m:r>
            </m:e>
          </m:nary>
          <m:d>
            <m:dPr>
              <m:begChr m:val="("/>
              <m:endChr m:val=")"/>
              <m:sepChr m:val=""/>
              <m:grow/>
            </m:dPr>
            <m:e>
              <m:r>
                <m:t>1</m:t>
              </m:r>
              <m:r>
                <m:rPr>
                  <m:sty m:val="p"/>
                </m:rPr>
                <m:t>+</m:t>
              </m:r>
              <m:r>
                <m:rPr>
                  <m:sty m:val="p"/>
                </m:rPr>
                <m:t>exp</m:t>
              </m:r>
              <m:d>
                <m:dPr>
                  <m:begChr m:val="["/>
                  <m:endChr m:val="]"/>
                  <m:sepChr m:val=""/>
                  <m:grow/>
                </m:dPr>
                <m:e>
                  <m:r>
                    <m:rPr>
                      <m:sty m:val="p"/>
                    </m:rPr>
                    <m:t>−</m:t>
                  </m:r>
                  <m:sSub>
                    <m:e>
                      <m:r>
                        <m:t>s</m:t>
                      </m:r>
                    </m:e>
                    <m:sub>
                      <m:r>
                        <m:t>i</m:t>
                      </m:r>
                      <m:r>
                        <m:t>j</m:t>
                      </m:r>
                      <m:r>
                        <m:t>t</m:t>
                      </m:r>
                    </m:sub>
                  </m:sSub>
                  <m:d>
                    <m:dPr>
                      <m:begChr m:val="("/>
                      <m:endChr m:val=")"/>
                      <m:sepChr m:val=""/>
                      <m:grow/>
                    </m:dPr>
                    <m:e>
                      <m:sSub>
                        <m:e>
                          <m:r>
                            <m:t>v</m:t>
                          </m:r>
                        </m:e>
                        <m:sub>
                          <m:r>
                            <m:t>i</m:t>
                          </m:r>
                          <m:r>
                            <m:t>t</m:t>
                          </m:r>
                        </m:sub>
                      </m:sSub>
                      <m:r>
                        <m:rPr>
                          <m:sty m:val="p"/>
                        </m:rPr>
                        <m:t>−</m:t>
                      </m:r>
                      <m:sSub>
                        <m:e>
                          <m:r>
                            <m:t>v</m:t>
                          </m:r>
                        </m:e>
                        <m:sub>
                          <m:r>
                            <m:t>j</m:t>
                          </m:r>
                          <m:r>
                            <m:t>t</m:t>
                          </m:r>
                        </m:sub>
                      </m:sSub>
                    </m:e>
                  </m:d>
                </m:e>
              </m:d>
            </m:e>
          </m:d>
        </m:oMath>
      </m:oMathPara>
    </w:p>
    <w:p>
      <w:r>
        <w:t>其中 s 是训练标签收益差的符号。应排除或降低极小差值的权重，并限制配对数，以免同一时点的海量相关配对被误认为独立样本。</w:t>
      </w:r>
    </w:p>
    <w:p>
      <w:pPr>
        <w:pStyle w:val="Heading2"/>
      </w:pPr>
      <w:r>
        <w:t>10.2 币种池、风险暴露与成本</w:t>
      </w:r>
    </w:p>
    <w:p>
      <w:r>
        <w:t>历史币种池必须按当时可交易性和过去流动性定义，包含退市与停止交易的处理。拿今天还活跃的币回测全部历史，会引入生存者偏差。小币种账面排名优势也可能无法按回测价格成交。</w:t>
      </w:r>
    </w:p>
    <w:p>
      <w:r>
        <w:t>先报告普通收益排名；需要“相对 alpha”时，再明确市场、BTC beta、波动和流动性暴露的处理。等美元多空不等于 beta 中性。风险系数必须用历史估计，不能用整个测试期拟合后中性化。</w:t>
      </w:r>
    </w:p>
    <w:p>
      <w:r>
        <w:t>组合约束应包括总杠杆、单资产上限、换手、可成交规模和资金费用。现货场景不能假定可以无限做空；永续场景也要建模保证金、资金费用和可用合约。</w:t>
      </w:r>
    </w:p>
    <w:p>
      <w:pPr>
        <w:pStyle w:val="Heading2"/>
      </w:pPr>
      <w:r>
        <w:t>10.3 难度与验收</w:t>
      </w:r>
    </w:p>
    <w:p>
      <w:r>
        <w:t>工程约 3／5，数据约 3–4／5。按每个时点计算横截面 IC，并同时报告组合净收益；不能把所有资产与时间混成一个相关系数后忽略市场共同运动。</w:t>
      </w:r>
    </w:p>
    <w:p>
      <w:r>
        <w:t>同一时间块中的全部资产应一起进入 bootstrap 或其他稳健评估单元，保留市场相关性。若增益仅来自高 beta、小币流动性暴露或少数幸存币，应停止宣称独立选币能力。</w:t>
      </w:r>
    </w:p>
    <w:p>
      <w:pPr>
        <w:pStyle w:val="Heading1"/>
      </w:pPr>
      <w:bookmarkStart w:id="12" w:name="sec11"/>
      <w:r>
        <w:t>11 事件时间与双时钟：为什么应当后置</w:t>
      </w:r>
      <w:bookmarkEnd w:id="12"/>
    </w:p>
    <w:p>
      <w:pPr>
        <w:pStyle w:val="Heading2"/>
      </w:pPr>
      <w:r>
        <w:t>11.1 研究动机</w:t>
      </w:r>
    </w:p>
    <w:p>
      <w:r>
        <w:t>固定时间条压缩了不同密度的市场活动；事件条尝试让每个单位对应一定成交笔数、成交量或成交额。它可能改变序列的可学习性，但不保证每个 token 含有相同信息量，也不保证目标收益更可预测。</w:t>
      </w:r>
    </w:p>
    <w:p>
      <w:r>
        <w:t>建议先从成交额条或成交笔数条选择一种，不要同时搜索大量 imbalance、波动阈值和混合规则。阈值必须由历史确定，不能利用全日或未来平均成交量回头划分历史。</w:t>
      </w:r>
    </w:p>
    <w:p>
      <w:pPr>
        <w:pStyle w:val="Heading2"/>
      </w:pPr>
      <w:r>
        <w:t>11.2 完整替换时钟的三项困难</w:t>
      </w:r>
    </w:p>
    <w:p>
      <w:r>
        <w:rPr>
          <w:b/>
        </w:rPr>
        <w:t>未来事件时间未知。</w:t>
      </w:r>
      <w:r>
        <w:t xml:space="preserve"> 现有 Predictor 接口接收未来时间戳，并在多步生成中使用时间特征；固定时间条的未来时刻已知，成交额阈值条的完成时刻未知。回测时直接提供真实未来事件时间，可能泄漏未来活动速度。</w:t>
      </w:r>
      <w:hyperlink w:anchor="ref03">
        <w:r>
          <w:rPr>
            <w:color w:val="167A86"/>
            <w:rFonts w:ascii="Carlito" w:hAnsi="Carlito" w:eastAsia="Noto Sans CJK SC"/>
            <w:sz w:val="19"/>
          </w:rPr>
          <w:t>[03]</w:t>
        </w:r>
      </w:hyperlink>
    </w:p>
    <w:p>
      <w:r>
        <w:rPr>
          <w:b/>
        </w:rPr>
        <w:t>目标和持有期改变。</w:t>
      </w:r>
      <w:r>
        <w:t xml:space="preserve"> 未来 20 个事件条可能对应很短或很长的真实时间，而仓位占用、资金费用和调仓都在真实时间中发生。不能用“未来 20 条”的成绩直接与“未来 4 小时”比较。</w:t>
      </w:r>
    </w:p>
    <w:p>
      <w:r>
        <w:rPr>
          <w:b/>
        </w:rPr>
        <w:t>输入分布改变。</w:t>
      </w:r>
      <w:r>
        <w:t xml:space="preserve"> 固定成交额条的 amount 近似常数，活动速度更多体现在持续时间中。原 tokenizer 学习的通道关系因此发生变化，不能默认原权重等价适用。</w:t>
      </w:r>
    </w:p>
    <w:p>
      <w:pPr>
        <w:pStyle w:val="Heading2"/>
      </w:pPr>
      <w:r>
        <w:t>11.3 数据工程比表面复杂</w:t>
      </w:r>
    </w:p>
    <w:p>
      <w:r>
        <w:t>只有分钟 OHLCV 不能唯一恢复分钟内的成交顺序和事件边界。严格构建事件条通常需要逐笔或足够细的成交数据，还需处理重复、乱序、丢失、修订和跨日连续性。</w:t>
      </w:r>
    </w:p>
    <w:p>
      <w:r>
        <w:t>事件条有超额成交时，要预先定义大成交是否拆分、超额是否结转。规则会影响 OHLC 与流量统计。报价币种、单位和跨交易所合并也需统一，不能仅按行累加。</w:t>
      </w:r>
    </w:p>
    <w:p>
      <w:pPr>
        <w:pStyle w:val="Heading2"/>
      </w:pPr>
      <w:r>
        <w:t>11.4 推荐折中：历史事件分支，固定时间决策</w:t>
      </w:r>
    </w:p>
    <w:p>
      <w:r>
        <w:t>在固定调仓时点，取已经完成的历史事件条，构造成交持续时间、价格冲击、买卖不平衡等特征，或用小编码器处理。与原 Kronos 表征后融合，预测相同的固定时间持有期收益。</w:t>
      </w:r>
    </w:p>
    <w:p>
      <w:r>
        <w:t>这样不需要提前知道未来事件的完成时刻，也保留同一交易任务。还应提供一个只含过去活动速度统计、不构建事件序列的廉价对照，检验收益是否只是来自新增持续时间特征。</w:t>
      </w:r>
    </w:p>
    <w:p>
      <w:pPr>
        <w:pStyle w:val="Heading2"/>
      </w:pPr>
      <w:r>
        <w:t>11.5 升级条件与难度</w:t>
      </w:r>
    </w:p>
    <w:p>
      <w:r>
        <w:t>历史事件辅助分支约 3–4／5；完整事件时间生成、联合持续时间建模或双时钟主干约 4–5／5。只有在固定目标、可比历史覆盖和统一成本下出现稳定增益，才值得升级。</w:t>
      </w:r>
    </w:p>
    <w:p>
      <w:r>
        <w:t>完整方案可以联合预测下一事件的状态与等待时间，也可以取消已知未来时间条件并重训；两者都是新的训练／推理协议。此时应当按新模型研究评估，而不是称为普通 fine-tune。</w:t>
      </w:r>
    </w:p>
    <w:p>
      <w:pPr>
        <w:pStyle w:val="Heading1"/>
      </w:pPr>
      <w:bookmarkStart w:id="13" w:name="sec12"/>
      <w:r>
        <w:t>12 输入重编码、tokenizer 重建与从头训练</w:t>
      </w:r>
      <w:bookmarkEnd w:id="13"/>
    </w:p>
    <w:p>
      <w:pPr>
        <w:pStyle w:val="Heading2"/>
      </w:pPr>
      <w:r>
        <w:t>12.1 候选表示及其目的</w:t>
      </w:r>
    </w:p>
    <w:p>
      <w:r>
        <w:t>可研究对数收益、蜡烛实体、影线、相对成交量和历史波动归一化。下面是一组候选定义，不是推荐立即全部使用：</w:t>
      </w:r>
    </w:p>
    <w:p>
      <w:pPr>
        <w:keepLines/>
        <w:spacing w:before="100" w:after="180" w:line="264" w:lineRule="auto"/>
        <w:jc w:val="center"/>
      </w:pPr>
      <m:oMathPara>
        <m:oMathParaPr>
          <m:jc m:val="center"/>
        </m:oMathParaPr>
        <m:oMath>
          <m:sSub>
            <m:e>
              <m:r>
                <m:t>b</m:t>
              </m:r>
            </m:e>
            <m:sub>
              <m:r>
                <m:t>t</m:t>
              </m:r>
            </m:sub>
          </m:sSub>
          <m:r>
            <m:rPr>
              <m:sty m:val="p"/>
            </m:rPr>
            <m:t>=</m:t>
          </m:r>
          <m:r>
            <m:rPr>
              <m:sty m:val="p"/>
            </m:rPr>
            <m:t>log</m:t>
          </m:r>
          <m:d>
            <m:dPr>
              <m:begChr m:val="("/>
              <m:endChr m:val=")"/>
              <m:sepChr m:val=""/>
              <m:grow/>
            </m:dPr>
            <m:e>
              <m:sSub>
                <m:e>
                  <m:r>
                    <m:t>C</m:t>
                  </m:r>
                </m:e>
                <m:sub>
                  <m:r>
                    <m:t>t</m:t>
                  </m:r>
                </m:sub>
              </m:sSub>
              <m:r>
                <m:rPr>
                  <m:sty m:val="p"/>
                </m:rPr>
                <m:t>/</m:t>
              </m:r>
              <m:sSub>
                <m:e>
                  <m:r>
                    <m:t>O</m:t>
                  </m:r>
                </m:e>
                <m:sub>
                  <m:r>
                    <m:t>t</m:t>
                  </m:r>
                </m:sub>
              </m:sSub>
            </m:e>
          </m:d>
          <m:r>
            <m:rPr>
              <m:sty m:val="p"/>
            </m:rPr>
            <m:t>,</m:t>
          </m:r>
          <m:r>
            <m:t> </m:t>
          </m:r>
          <m:sSub>
            <m:e>
              <m:r>
                <m:t>g</m:t>
              </m:r>
            </m:e>
            <m:sub>
              <m:r>
                <m:t>t</m:t>
              </m:r>
            </m:sub>
          </m:sSub>
          <m:r>
            <m:rPr>
              <m:sty m:val="p"/>
            </m:rPr>
            <m:t>=</m:t>
          </m:r>
          <m:r>
            <m:rPr>
              <m:sty m:val="p"/>
            </m:rPr>
            <m:t>log</m:t>
          </m:r>
          <m:d>
            <m:dPr>
              <m:begChr m:val="("/>
              <m:endChr m:val=")"/>
              <m:sepChr m:val=""/>
              <m:grow/>
            </m:dPr>
            <m:e>
              <m:sSub>
                <m:e>
                  <m:r>
                    <m:t>O</m:t>
                  </m:r>
                </m:e>
                <m:sub>
                  <m:r>
                    <m:t>t</m:t>
                  </m:r>
                </m:sub>
              </m:sSub>
              <m:r>
                <m:rPr>
                  <m:sty m:val="p"/>
                </m:rPr>
                <m:t>/</m:t>
              </m:r>
              <m:sSub>
                <m:e>
                  <m:r>
                    <m:t>C</m:t>
                  </m:r>
                </m:e>
                <m:sub>
                  <m:r>
                    <m:t>t</m:t>
                  </m:r>
                  <m:r>
                    <m:rPr>
                      <m:sty m:val="p"/>
                    </m:rPr>
                    <m:t>−</m:t>
                  </m:r>
                  <m:r>
                    <m:t>1</m:t>
                  </m:r>
                </m:sub>
              </m:sSub>
            </m:e>
          </m:d>
          <m:r>
            <m:rPr>
              <m:sty m:val="p"/>
            </m:rPr>
            <m:t>,</m:t>
          </m:r>
          <m:r>
            <m:t> </m:t>
          </m:r>
          <m:sSub>
            <m:e>
              <m:r>
                <m:t>u</m:t>
              </m:r>
            </m:e>
            <m:sub>
              <m:r>
                <m:t>t</m:t>
              </m:r>
            </m:sub>
          </m:sSub>
          <m:r>
            <m:rPr>
              <m:sty m:val="p"/>
            </m:rPr>
            <m:t>=</m:t>
          </m:r>
          <m:r>
            <m:rPr>
              <m:sty m:val="p"/>
            </m:rPr>
            <m:t>log</m:t>
          </m:r>
          <m:d>
            <m:dPr>
              <m:begChr m:val="["/>
              <m:endChr m:val="]"/>
              <m:sepChr m:val=""/>
              <m:grow/>
            </m:dPr>
            <m:e>
              <m:sSub>
                <m:e>
                  <m:r>
                    <m:t>H</m:t>
                  </m:r>
                </m:e>
                <m:sub>
                  <m:r>
                    <m:t>t</m:t>
                  </m:r>
                </m:sub>
              </m:sSub>
              <m:r>
                <m:rPr>
                  <m:sty m:val="p"/>
                </m:rPr>
                <m:t>/</m:t>
              </m:r>
              <m:r>
                <m:rPr>
                  <m:sty m:val="p"/>
                </m:rPr>
                <m:t>max</m:t>
              </m:r>
              <m:d>
                <m:dPr>
                  <m:begChr m:val="("/>
                  <m:endChr m:val=")"/>
                  <m:sepChr m:val=""/>
                  <m:grow/>
                </m:dPr>
                <m:e>
                  <m:sSub>
                    <m:e>
                      <m:r>
                        <m:t>O</m:t>
                      </m:r>
                    </m:e>
                    <m:sub>
                      <m:r>
                        <m:t>t</m:t>
                      </m:r>
                    </m:sub>
                  </m:sSub>
                  <m:r>
                    <m:rPr>
                      <m:sty m:val="p"/>
                    </m:rPr>
                    <m:t>,</m:t>
                  </m:r>
                  <m:sSub>
                    <m:e>
                      <m:r>
                        <m:t>C</m:t>
                      </m:r>
                    </m:e>
                    <m:sub>
                      <m:r>
                        <m:t>t</m:t>
                      </m:r>
                    </m:sub>
                  </m:sSub>
                </m:e>
              </m:d>
            </m:e>
          </m:d>
          <m:r>
            <m:rPr>
              <m:sty m:val="p"/>
            </m:rPr>
            <m:t>,</m:t>
          </m:r>
          <m:r>
            <m:t> </m:t>
          </m:r>
          <m:sSub>
            <m:e>
              <m:r>
                <m:t>d</m:t>
              </m:r>
            </m:e>
            <m:sub>
              <m:r>
                <m:t>t</m:t>
              </m:r>
            </m:sub>
          </m:sSub>
          <m:r>
            <m:rPr>
              <m:sty m:val="p"/>
            </m:rPr>
            <m:t>=</m:t>
          </m:r>
          <m:r>
            <m:rPr>
              <m:sty m:val="p"/>
            </m:rPr>
            <m:t>log</m:t>
          </m:r>
          <m:d>
            <m:dPr>
              <m:begChr m:val="["/>
              <m:endChr m:val="]"/>
              <m:sepChr m:val=""/>
              <m:grow/>
            </m:dPr>
            <m:e>
              <m:r>
                <m:rPr>
                  <m:sty m:val="p"/>
                </m:rPr>
                <m:t>min</m:t>
              </m:r>
              <m:d>
                <m:dPr>
                  <m:begChr m:val="("/>
                  <m:endChr m:val=")"/>
                  <m:sepChr m:val=""/>
                  <m:grow/>
                </m:dPr>
                <m:e>
                  <m:sSub>
                    <m:e>
                      <m:r>
                        <m:t>O</m:t>
                      </m:r>
                    </m:e>
                    <m:sub>
                      <m:r>
                        <m:t>t</m:t>
                      </m:r>
                    </m:sub>
                  </m:sSub>
                  <m:r>
                    <m:rPr>
                      <m:sty m:val="p"/>
                    </m:rPr>
                    <m:t>,</m:t>
                  </m:r>
                  <m:sSub>
                    <m:e>
                      <m:r>
                        <m:t>C</m:t>
                      </m:r>
                    </m:e>
                    <m:sub>
                      <m:r>
                        <m:t>t</m:t>
                      </m:r>
                    </m:sub>
                  </m:sSub>
                </m:e>
              </m:d>
              <m:r>
                <m:rPr>
                  <m:sty m:val="p"/>
                </m:rPr>
                <m:t>/</m:t>
              </m:r>
              <m:sSub>
                <m:e>
                  <m:r>
                    <m:t>L</m:t>
                  </m:r>
                </m:e>
                <m:sub>
                  <m:r>
                    <m:t>t</m:t>
                  </m:r>
                </m:sub>
              </m:sSub>
            </m:e>
          </m:d>
        </m:oMath>
      </m:oMathPara>
    </w:p>
    <w:p>
      <w:r>
        <w:t>价格必须为正且 OHLC 合法。相对成交量的分母、收益归一化用的波动均仅来自过去。对异常点要先区分坏数据与真实极端行情，不能为了降低 loss 一概删除跳跃。</w:t>
      </w:r>
    </w:p>
    <w:p>
      <w:r>
        <w:t>这些变换改变归纳偏置，但同一原始历史的确定性变换不会凭空增加信息。既可能帮助学习，也可能抹去有用结构。</w:t>
      </w:r>
    </w:p>
    <w:p>
      <w:pPr>
        <w:pStyle w:val="Heading2"/>
      </w:pPr>
      <w:r>
        <w:t>12.2 为什么六个新通道不能直接冒充原六通道</w:t>
      </w:r>
    </w:p>
    <w:p>
      <w:r>
        <w:t>原 tokenizer 和主干共同形成 token 语义。即使维度保持为六，把收益率放入 open、把 OI 放入 volume，也不能保证预训练关系保留。代码能前向计算，只说明张量形状兼容。</w:t>
      </w:r>
      <w:hyperlink w:anchor="ref03">
        <w:r>
          <w:rPr>
            <w:color w:val="167A86"/>
            <w:rFonts w:ascii="Carlito" w:hAnsi="Carlito" w:eastAsia="Noto Sans CJK SC"/>
            <w:sz w:val="19"/>
          </w:rPr>
          <w:t>[03]</w:t>
        </w:r>
      </w:hyperlink>
    </w:p>
    <w:p>
      <w:r>
        <w:t>重新训练 tokenizer 后，相同 token ID 可能代表不同形态。原主干仍可作为初始化，但应比较迁移训练和随机初始化，而不是默认仍享有全部预训练收益。</w:t>
      </w:r>
    </w:p>
    <w:p>
      <w:r>
        <w:t>此外，coarse token 只被结构性损失约束为粗粒度重建，并没有被保证对应“趋势”“拥挤”或某个经济机制。给 token 命名需要额外监督和验证，不能靠目测赋予固定经济意义。</w:t>
      </w:r>
    </w:p>
    <w:p>
      <w:pPr>
        <w:pStyle w:val="Heading2"/>
      </w:pPr>
      <w:r>
        <w:t>12.3 建议升级阶梯</w:t>
      </w:r>
    </w:p>
    <w:p>
      <w:r>
        <w:t>先做第 5 章的量化前后诊断，再试连续特征旁路／小 adapter；有稳定证据后，才考虑 tokenizer 微调并约束旧 token 语义漂移；最后才是重建 tokenizer 与主干联合适配。</w:t>
      </w:r>
    </w:p>
    <w:p>
      <w:r>
        <w:t>诊断指标包括重建误差、token 使用情况、截断比例、极端区间表现，以及最重要的下游增量。重建更精细或 codebook 更均匀，本身不是经济贡献。</w:t>
      </w:r>
    </w:p>
    <w:p>
      <w:r>
        <w:t>若需要保留生成任务，要定义从新表示重建价格路径的方法与误差传播。若只做判别预测，则不必强行保留完整 K 线生成器；删除无用解码器可能是更好的工程选择。</w:t>
      </w:r>
    </w:p>
    <w:p>
      <w:pPr>
        <w:pStyle w:val="Heading2"/>
      </w:pPr>
      <w:r>
        <w:t>12.4 从头训练何时合理</w:t>
      </w:r>
    </w:p>
    <w:p>
      <w:r>
        <w:t>从头训练适用于需要明确训练来源、研究新表示／新时钟、或系统比较架构的路线。只为修复对公开权重 cutoff 的疑虑，不必立即从头训练；可先固定具有可验证公开时间的权重，在之后的市场数据上评估。</w:t>
      </w:r>
    </w:p>
    <w:p>
      <w:r>
        <w:t>从头训练还需建立足够强的小模型和随机初始化对照，明确数据预算、计算预算和多随机种子。没有复现 120 亿条级别预训练的必要，也不能把小规模重训失败直接解释为架构无效。</w:t>
      </w:r>
    </w:p>
    <w:p>
      <w:r>
        <w:t>重编码／tokenizer 重建约 4／5，从头整套训练约 4–5／5。没有表示瓶颈证据、没有清晰数据来源或没有训练预算时，不应把这条路线排在前面。</w:t>
      </w:r>
    </w:p>
    <w:p>
      <w:pPr>
        <w:pStyle w:val="Heading1"/>
      </w:pPr>
      <w:bookmarkStart w:id="14" w:name="sec13"/>
      <w:r>
        <w:t>13 神经—符号：受限策略接口，而非无限因子工厂</w:t>
      </w:r>
      <w:bookmarkEnd w:id="14"/>
    </w:p>
    <w:p>
      <w:pPr>
        <w:pStyle w:val="Heading2"/>
      </w:pPr>
      <w:r>
        <w:t>13.1 合理分工</w:t>
      </w:r>
    </w:p>
    <w:p>
      <w:r>
        <w:t>神经部分处理历史表示或监督概念；符号部分表达透明策略、约束与组合逻辑；回测与统计系统负责检验。神经网络引导符号表达式搜索已有方法研究基础，但这不等于在非平稳金融数据中自动得到可靠规律。</w:t>
      </w:r>
      <w:hyperlink w:anchor="ref16">
        <w:r>
          <w:rPr>
            <w:color w:val="167A86"/>
            <w:rFonts w:ascii="Carlito" w:hAnsi="Carlito" w:eastAsia="Noto Sans CJK SC"/>
            <w:sz w:val="19"/>
          </w:rPr>
          <w:t>[16]</w:t>
        </w:r>
      </w:hyperlink>
    </w:p>
    <w:p>
      <w:r>
        <w:t>本方案将“可解释约束”和“自动发现策略”分开。第一版可以只提供透明仓位上限、数据质量门槛与固定动量规则；这已经能与神经预测头组合，不必先引入复杂搜索引擎。</w:t>
      </w:r>
    </w:p>
    <w:p>
      <w:pPr>
        <w:pStyle w:val="Heading2"/>
      </w:pPr>
      <w:r>
        <w:t>13.2 不把任意 latent 坐标伪装成经济变量</w:t>
      </w:r>
    </w:p>
    <w:p>
      <w:r>
        <w:t>某次训练的 z[3] 不会天然、永久地等于“流动性压力”。不同随机种子或继续训练可能改变坐标。符号层若直接依赖任意坐标，其经济解释和跨版本稳定性都很弱。</w:t>
      </w:r>
    </w:p>
    <w:p>
      <w:r>
        <w:t>更稳妥的是建立小型监督概念接口，例如固定持有期的波动预测、策略净结果预测、数据陈旧程度、经过校准的下行概率。概念必须有定义和验证；这些输出仍可能错，不能被当成市场事实。</w:t>
      </w:r>
    </w:p>
    <w:p>
      <w:r>
        <w:t>用未来实现情况作训练标签是允许的，但部署输入只能是当时产生的预测。符号搜索使用概念预测时，应采用 out-of-fold／walk-forward 预测，不能用上游模型在同一训练样本上的过拟合预测来评价策略。</w:t>
      </w:r>
    </w:p>
    <w:p>
      <w:pPr>
        <w:pStyle w:val="Heading2"/>
      </w:pPr>
      <w:r>
        <w:t>13.3 最小 DSL 和安全边界</w:t>
      </w:r>
    </w:p>
    <w:p>
      <w:r>
        <w:t>可先允许 rank、zscore、lag、clip、加减乘、带保护的除法和少量条件门控。限制表达式深度、窗口集合、常数数量和最大换手；禁止负 lag、全样本统计、任意文件访问及未登记外部数据。</w:t>
      </w:r>
    </w:p>
    <w:p>
      <w:r>
        <w:t>符号系统输出的应当是结构化表达式树，而不是不受约束的任意 Python。执行前进行类型、时序和复杂度检查。仓位／杠杆上限由独立组合层执行，不把安全约束只写在提示词里。</w:t>
      </w:r>
    </w:p>
    <w:p>
      <w:r>
        <w:t>研究优先级可以用一个透明的多目标准则组织，而非盲目最大化单次 Sharpe：</w:t>
      </w:r>
    </w:p>
    <w:p>
      <w:pPr>
        <w:keepLines/>
        <w:spacing w:before="100" w:after="180" w:line="264" w:lineRule="auto"/>
        <w:jc w:val="center"/>
      </w:pPr>
      <m:oMathPara>
        <m:oMathParaPr>
          <m:jc m:val="center"/>
        </m:oMathParaPr>
        <m:oMath>
          <m:r>
            <m:t>J</m:t>
          </m:r>
          <m:r>
            <m:rPr>
              <m:sty m:val="p"/>
            </m:rPr>
            <m:t>=</m:t>
          </m:r>
          <m:r>
            <m:rPr>
              <m:nor/>
              <m:sty m:val="p"/>
            </m:rPr>
            <m:t>validated utility</m:t>
          </m:r>
          <m:r>
            <m:rPr>
              <m:sty m:val="p"/>
            </m:rPr>
            <m:t>−</m:t>
          </m:r>
          <m:sSub>
            <m:e>
              <m:r>
                <m:t>λ</m:t>
              </m:r>
            </m:e>
            <m:sub>
              <m:r>
                <m:t>1</m:t>
              </m:r>
            </m:sub>
          </m:sSub>
          <m:r>
            <m:rPr>
              <m:nor/>
              <m:sty m:val="p"/>
            </m:rPr>
            <m:t>complexity</m:t>
          </m:r>
          <m:r>
            <m:rPr>
              <m:sty m:val="p"/>
            </m:rPr>
            <m:t>−</m:t>
          </m:r>
          <m:sSub>
            <m:e>
              <m:r>
                <m:t>λ</m:t>
              </m:r>
            </m:e>
            <m:sub>
              <m:r>
                <m:t>2</m:t>
              </m:r>
            </m:sub>
          </m:sSub>
          <m:r>
            <m:rPr>
              <m:nor/>
              <m:sty m:val="p"/>
            </m:rPr>
            <m:t>turnover</m:t>
          </m:r>
          <m:r>
            <m:rPr>
              <m:sty m:val="p"/>
            </m:rPr>
            <m:t>−</m:t>
          </m:r>
          <m:sSub>
            <m:e>
              <m:r>
                <m:t>λ</m:t>
              </m:r>
            </m:e>
            <m:sub>
              <m:r>
                <m:t>3</m:t>
              </m:r>
            </m:sub>
          </m:sSub>
          <m:r>
            <m:rPr>
              <m:nor/>
              <m:sty m:val="p"/>
            </m:rPr>
            <m:t>instability</m:t>
          </m:r>
        </m:oMath>
      </m:oMathPara>
    </w:p>
    <w:p>
      <w:r>
        <w:t>该式是设计模板，不是已经校准的万能 fitness。更推荐先用硬门槛筛掉不合规候选，再在有限候选中比较稳健效用。</w:t>
      </w:r>
    </w:p>
    <w:p>
      <w:pPr>
        <w:pStyle w:val="Heading2"/>
      </w:pPr>
      <w:r>
        <w:t>13.4 LLM agent 应当承担什么</w:t>
      </w:r>
    </w:p>
    <w:p>
      <w:r>
        <w:t>LLM 适合提出可检验假设、生成受限表达式、解释失败并管理实验。但它不能凭文字判断收益是否真实，也不能把测试集当成反复修改的反馈环境。每个候选记录来源、父表达式、参数、使用数据与被否定原因。</w:t>
      </w:r>
    </w:p>
    <w:p>
      <w:r>
        <w:t>外层锁定测试必须与生成／修改代理隔离。实验编排工具默认研究权限；实盘权限、资金操作和交易所写入与研究系统分开。LLM 不负责批准自己的候选进入实盘。</w:t>
      </w:r>
    </w:p>
    <w:p>
      <w:pPr>
        <w:pStyle w:val="Heading2"/>
      </w:pPr>
      <w:r>
        <w:t>13.5 难度与验收</w:t>
      </w:r>
    </w:p>
    <w:p>
      <w:r>
        <w:t>受限规则层约 2–3／5；完整群体搜索、学习引导和实验治理约 4–5／5。最大的风险是多重尝试和对反馈集的适应，而非表达式计算速度。</w:t>
      </w:r>
      <w:hyperlink w:anchor="ref15">
        <w:r>
          <w:rPr>
            <w:color w:val="167A86"/>
            <w:rFonts w:ascii="Carlito" w:hAnsi="Carlito" w:eastAsia="Noto Sans CJK SC"/>
            <w:sz w:val="19"/>
          </w:rPr>
          <w:t>[15]</w:t>
        </w:r>
      </w:hyperlink>
    </w:p>
    <w:p>
      <w:r>
        <w:t>只有普通模型和简单规则已经给出可重复增益，自动搜索才值得接入。若规则对随机种子、微小成本变化或某一时间段极度敏感，应淘汰，而不是用更复杂解释维护它。</w:t>
      </w:r>
    </w:p>
    <w:p>
      <w:pPr>
        <w:pStyle w:val="Heading1"/>
      </w:pPr>
      <w:bookmarkStart w:id="15" w:name="sec14"/>
      <w:r>
        <w:t>14 数据、时间切分与验证规范</w:t>
      </w:r>
      <w:bookmarkEnd w:id="15"/>
    </w:p>
    <w:p>
      <w:pPr>
        <w:pStyle w:val="Heading2"/>
      </w:pPr>
      <w:r>
        <w:t>14.1 四个时间必须区分</w:t>
      </w:r>
    </w:p>
    <w:p>
      <w:r>
        <w:t>每条记录至少管理事件时间、可用时间、采集时间和版本／修订信息。每个训练标签另有结束时间。交易决策时只能使用可用时间不晚于决策时点的版本。</w:t>
      </w:r>
    </w:p>
    <w:p>
      <w:r>
        <w:t>K 线常以开盘时间标记，完整 OHLCV 却在结束后才可得。接口还可能使用统计区间的开始或结束时间。统一存储 UTC，同时保留原口径；不要靠简单相同时间戳 join 就假定同步。</w:t>
      </w:r>
    </w:p>
    <w:p>
      <w:r>
        <w:t>历史修订数据不能被自动视为当时可得。没有 point-in-time 版本的数据，应明确限制并进行保守延迟／缺失敏感性分析，不能把猜测的历史可用时间写成事实。</w:t>
      </w:r>
    </w:p>
    <w:p>
      <w:pPr>
        <w:pStyle w:val="Heading2"/>
      </w:pPr>
      <w:r>
        <w:t>14.2 外层 walk-forward 与内层模型选择</w:t>
      </w:r>
    </w:p>
    <w:p>
      <w:r>
        <w:t>外层按整段时间滚动，所有资产共享边界；只在过去训练，在后续区间测试。内层验证用于超参数、门控阈值、校准器和 checkpoint 选择。每个阶段都保留从未进入选择过程的最终锁定测试，后续再增加前瞻纸面记录。</w:t>
      </w:r>
    </w:p>
    <w:p>
      <w:r>
        <w:t>训练标签若跨入验证／测试窗口，应从训练集中清除。边界间隔与最长目标持有期、标签重叠和数据延迟匹配，不采用一个没有解释的固定“神奇天数”。回看窗口使用过去历史本身不等于泄漏；关键在于是否用到了该预测原点之后才可得的信息。</w:t>
      </w:r>
    </w:p>
    <w:p>
      <w:r>
        <w:t>不要随机把同一市场时刻的不同币种分散到训练和测试后称为时间外推。资产外推可作为额外实验，但不能代替时间外推。</w:t>
      </w:r>
    </w:p>
    <w:p>
      <w:pPr>
        <w:pStyle w:val="Heading2"/>
      </w:pPr>
      <w:r>
        <w:t>14.3 预训练污染与时间可部署性的区别</w:t>
      </w:r>
    </w:p>
    <w:p>
      <w:r>
        <w:t>论文声称的 cutoff、公开文件的最早出现时间和具体 checkpoint 的训练来源是三类证据。</w:t>
      </w:r>
      <w:hyperlink w:anchor="ref01">
        <w:r>
          <w:rPr>
            <w:color w:val="167A86"/>
            <w:rFonts w:ascii="Carlito" w:hAnsi="Carlito" w:eastAsia="Noto Sans CJK SC"/>
            <w:sz w:val="19"/>
          </w:rPr>
          <w:t>[01]</w:t>
        </w:r>
      </w:hyperlink>
      <w:hyperlink w:anchor="ref08">
        <w:r>
          <w:rPr>
            <w:color w:val="167A86"/>
            <w:rFonts w:ascii="Carlito" w:hAnsi="Carlito" w:eastAsia="Noto Sans CJK SC"/>
            <w:sz w:val="19"/>
          </w:rPr>
          <w:t>[08]</w:t>
        </w:r>
      </w:hyperlink>
    </w:p>
    <w:p>
      <w:r>
        <w:t>固定一个已经公开、校验值确定的模型文件，再使用其公开之后发生的市场数据，可建立重要的时间隔离。但模型选择、数据修订和反复使用这段测试数据仍会污染评价。不能只锁模型而不锁全部实验过程。</w:t>
      </w:r>
    </w:p>
    <w:p>
      <w:r>
        <w:t>另外，某模型尚未发布时的历史回测，即使训练数据截止更早，也不等于当时实际可以部署。报告应区分“历史解释性实验”和“严格模拟当时可取得全部工具的交易实验”。</w:t>
      </w:r>
    </w:p>
    <w:p>
      <w:pPr>
        <w:pStyle w:val="Heading2"/>
        <w:pageBreakBefore/>
      </w:pPr>
      <w:r>
        <w:t>14.4 因果一致性测试清单</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327"/>
        <w:gridCol w:w="3781"/>
        <w:gridCol w:w="3587"/>
      </w:tblGrid>
      <w:tr>
        <w:trPr>
          <w:cantSplit/>
          <w:tblHeader/>
        </w:trPr>
        <w:tc>
          <w:tcPr>
            <w:tcW w:type="dxa" w:w="2327"/>
            <w:vAlign w:val="center"/>
            <w:tcMar>
              <w:top w:w="55" w:type="dxa"/>
              <w:bottom w:w="55" w:type="dxa"/>
              <w:left w:w="75" w:type="dxa"/>
              <w:right w:w="75" w:type="dxa"/>
            </w:tcMar>
            <w:shd w:fill="173444"/>
          </w:tcPr>
          <w:p>
            <w:pPr>
              <w:pStyle w:val="TableText"/>
              <w:keepNext/>
            </w:pPr>
            <w:r>
              <w:rPr>
                <w:b/>
                <w:color w:val="FFFFFF"/>
                <w:sz w:val="18"/>
              </w:rPr>
              <w:t>测试</w:t>
            </w:r>
          </w:p>
        </w:tc>
        <w:tc>
          <w:tcPr>
            <w:tcW w:type="dxa" w:w="3781"/>
            <w:vAlign w:val="center"/>
            <w:tcMar>
              <w:top w:w="55" w:type="dxa"/>
              <w:bottom w:w="55" w:type="dxa"/>
              <w:left w:w="75" w:type="dxa"/>
              <w:right w:w="75" w:type="dxa"/>
            </w:tcMar>
            <w:shd w:fill="173444"/>
          </w:tcPr>
          <w:p>
            <w:pPr>
              <w:pStyle w:val="TableText"/>
              <w:keepNext/>
            </w:pPr>
            <w:r>
              <w:rPr>
                <w:b/>
                <w:color w:val="FFFFFF"/>
                <w:sz w:val="18"/>
              </w:rPr>
              <w:t>做法</w:t>
            </w:r>
          </w:p>
        </w:tc>
        <w:tc>
          <w:tcPr>
            <w:tcW w:type="dxa" w:w="3587"/>
            <w:vAlign w:val="center"/>
            <w:tcMar>
              <w:top w:w="55" w:type="dxa"/>
              <w:bottom w:w="55" w:type="dxa"/>
              <w:left w:w="75" w:type="dxa"/>
              <w:right w:w="75" w:type="dxa"/>
            </w:tcMar>
            <w:shd w:fill="173444"/>
          </w:tcPr>
          <w:p>
            <w:pPr>
              <w:pStyle w:val="TableText"/>
              <w:keepNext/>
            </w:pPr>
            <w:r>
              <w:rPr>
                <w:b/>
                <w:color w:val="FFFFFF"/>
                <w:sz w:val="18"/>
              </w:rPr>
              <w:t>不通过意味着什么</w:t>
            </w:r>
          </w:p>
        </w:tc>
      </w:tr>
      <w:tr>
        <w:trPr>
          <w:cantSplit/>
        </w:trPr>
        <w:tc>
          <w:tcPr>
            <w:tcW w:type="dxa" w:w="2327"/>
            <w:vAlign w:val="center"/>
            <w:tcMar>
              <w:top w:w="55" w:type="dxa"/>
              <w:bottom w:w="55" w:type="dxa"/>
              <w:left w:w="75" w:type="dxa"/>
              <w:right w:w="75" w:type="dxa"/>
            </w:tcMar>
            <w:shd w:fill="FFFFFF"/>
          </w:tcPr>
          <w:p>
            <w:pPr>
              <w:pStyle w:val="TableText"/>
            </w:pPr>
            <w:r>
              <w:t>截断一致性</w:t>
            </w:r>
          </w:p>
        </w:tc>
        <w:tc>
          <w:tcPr>
            <w:tcW w:type="dxa" w:w="3781"/>
            <w:vAlign w:val="center"/>
            <w:tcMar>
              <w:top w:w="55" w:type="dxa"/>
              <w:bottom w:w="55" w:type="dxa"/>
              <w:left w:w="75" w:type="dxa"/>
              <w:right w:w="75" w:type="dxa"/>
            </w:tcMar>
            <w:shd w:fill="FFFFFF"/>
          </w:tcPr>
          <w:p>
            <w:pPr>
              <w:pStyle w:val="TableText"/>
            </w:pPr>
            <w:r>
              <w:t>全文件运行与截止 t 的文件运行比较 t 信号</w:t>
            </w:r>
          </w:p>
        </w:tc>
        <w:tc>
          <w:tcPr>
            <w:tcW w:type="dxa" w:w="3587"/>
            <w:vAlign w:val="center"/>
            <w:tcMar>
              <w:top w:w="55" w:type="dxa"/>
              <w:bottom w:w="55" w:type="dxa"/>
              <w:left w:w="75" w:type="dxa"/>
              <w:right w:w="75" w:type="dxa"/>
            </w:tcMar>
            <w:shd w:fill="FFFFFF"/>
          </w:tcPr>
          <w:p>
            <w:pPr>
              <w:pStyle w:val="TableText"/>
            </w:pPr>
            <w:r>
              <w:t>预处理／策略可能使用后部数据</w:t>
            </w:r>
          </w:p>
        </w:tc>
      </w:tr>
      <w:tr>
        <w:trPr>
          <w:cantSplit/>
        </w:trPr>
        <w:tc>
          <w:tcPr>
            <w:tcW w:type="dxa" w:w="2327"/>
            <w:vAlign w:val="center"/>
            <w:tcMar>
              <w:top w:w="55" w:type="dxa"/>
              <w:bottom w:w="55" w:type="dxa"/>
              <w:left w:w="75" w:type="dxa"/>
              <w:right w:w="75" w:type="dxa"/>
            </w:tcMar>
            <w:shd w:fill="F2F6F8"/>
          </w:tcPr>
          <w:p>
            <w:pPr>
              <w:pStyle w:val="TableText"/>
            </w:pPr>
            <w:r>
              <w:t>未来扰动</w:t>
            </w:r>
          </w:p>
        </w:tc>
        <w:tc>
          <w:tcPr>
            <w:tcW w:type="dxa" w:w="3781"/>
            <w:vAlign w:val="center"/>
            <w:tcMar>
              <w:top w:w="55" w:type="dxa"/>
              <w:bottom w:w="55" w:type="dxa"/>
              <w:left w:w="75" w:type="dxa"/>
              <w:right w:w="75" w:type="dxa"/>
            </w:tcMar>
            <w:shd w:fill="F2F6F8"/>
          </w:tcPr>
          <w:p>
            <w:pPr>
              <w:pStyle w:val="TableText"/>
            </w:pPr>
            <w:r>
              <w:t>随机修改 t 之后数据，t 结果应不变</w:t>
            </w:r>
          </w:p>
        </w:tc>
        <w:tc>
          <w:tcPr>
            <w:tcW w:type="dxa" w:w="3587"/>
            <w:vAlign w:val="center"/>
            <w:tcMar>
              <w:top w:w="55" w:type="dxa"/>
              <w:bottom w:w="55" w:type="dxa"/>
              <w:left w:w="75" w:type="dxa"/>
              <w:right w:w="75" w:type="dxa"/>
            </w:tcMar>
            <w:shd w:fill="F2F6F8"/>
          </w:tcPr>
          <w:p>
            <w:pPr>
              <w:pStyle w:val="TableText"/>
            </w:pPr>
            <w:r>
              <w:t>隐性未来依赖</w:t>
            </w:r>
          </w:p>
        </w:tc>
      </w:tr>
      <w:tr>
        <w:trPr>
          <w:cantSplit/>
        </w:trPr>
        <w:tc>
          <w:tcPr>
            <w:tcW w:type="dxa" w:w="2327"/>
            <w:vAlign w:val="center"/>
            <w:tcMar>
              <w:top w:w="55" w:type="dxa"/>
              <w:bottom w:w="55" w:type="dxa"/>
              <w:left w:w="75" w:type="dxa"/>
              <w:right w:w="75" w:type="dxa"/>
            </w:tcMar>
            <w:shd w:fill="FFFFFF"/>
          </w:tcPr>
          <w:p>
            <w:pPr>
              <w:pStyle w:val="TableText"/>
            </w:pPr>
            <w:r>
              <w:t>可用时间断言</w:t>
            </w:r>
          </w:p>
        </w:tc>
        <w:tc>
          <w:tcPr>
            <w:tcW w:type="dxa" w:w="3781"/>
            <w:vAlign w:val="center"/>
            <w:tcMar>
              <w:top w:w="55" w:type="dxa"/>
              <w:bottom w:w="55" w:type="dxa"/>
              <w:left w:w="75" w:type="dxa"/>
              <w:right w:w="75" w:type="dxa"/>
            </w:tcMar>
            <w:shd w:fill="FFFFFF"/>
          </w:tcPr>
          <w:p>
            <w:pPr>
              <w:pStyle w:val="TableText"/>
            </w:pPr>
            <w:r>
              <w:t>检查每个输入 available_at ≤ decision_at</w:t>
            </w:r>
          </w:p>
        </w:tc>
        <w:tc>
          <w:tcPr>
            <w:tcW w:type="dxa" w:w="3587"/>
            <w:vAlign w:val="center"/>
            <w:tcMar>
              <w:top w:w="55" w:type="dxa"/>
              <w:bottom w:w="55" w:type="dxa"/>
              <w:left w:w="75" w:type="dxa"/>
              <w:right w:w="75" w:type="dxa"/>
            </w:tcMar>
            <w:shd w:fill="FFFFFF"/>
          </w:tcPr>
          <w:p>
            <w:pPr>
              <w:pStyle w:val="TableText"/>
            </w:pPr>
            <w:r>
              <w:t>对齐或字段定义错误</w:t>
            </w:r>
          </w:p>
        </w:tc>
      </w:tr>
      <w:tr>
        <w:trPr>
          <w:cantSplit/>
        </w:trPr>
        <w:tc>
          <w:tcPr>
            <w:tcW w:type="dxa" w:w="2327"/>
            <w:vAlign w:val="center"/>
            <w:tcMar>
              <w:top w:w="55" w:type="dxa"/>
              <w:bottom w:w="55" w:type="dxa"/>
              <w:left w:w="75" w:type="dxa"/>
              <w:right w:w="75" w:type="dxa"/>
            </w:tcMar>
            <w:shd w:fill="F2F6F8"/>
          </w:tcPr>
          <w:p>
            <w:pPr>
              <w:pStyle w:val="TableText"/>
            </w:pPr>
            <w:r>
              <w:t>训练来源断言</w:t>
            </w:r>
          </w:p>
        </w:tc>
        <w:tc>
          <w:tcPr>
            <w:tcW w:type="dxa" w:w="3781"/>
            <w:vAlign w:val="center"/>
            <w:tcMar>
              <w:top w:w="55" w:type="dxa"/>
              <w:bottom w:w="55" w:type="dxa"/>
              <w:left w:w="75" w:type="dxa"/>
              <w:right w:w="75" w:type="dxa"/>
            </w:tcMar>
            <w:shd w:fill="F2F6F8"/>
          </w:tcPr>
          <w:p>
            <w:pPr>
              <w:pStyle w:val="TableText"/>
            </w:pPr>
            <w:r>
              <w:t>训练／校准标签结束时间早于允许边界</w:t>
            </w:r>
          </w:p>
        </w:tc>
        <w:tc>
          <w:tcPr>
            <w:tcW w:type="dxa" w:w="3587"/>
            <w:vAlign w:val="center"/>
            <w:tcMar>
              <w:top w:w="55" w:type="dxa"/>
              <w:bottom w:w="55" w:type="dxa"/>
              <w:left w:w="75" w:type="dxa"/>
              <w:right w:w="75" w:type="dxa"/>
            </w:tcMar>
            <w:shd w:fill="F2F6F8"/>
          </w:tcPr>
          <w:p>
            <w:pPr>
              <w:pStyle w:val="TableText"/>
            </w:pPr>
            <w:r>
              <w:t>fold 或 checkpoint 混用</w:t>
            </w:r>
          </w:p>
        </w:tc>
      </w:tr>
      <w:tr>
        <w:trPr>
          <w:cantSplit/>
        </w:trPr>
        <w:tc>
          <w:tcPr>
            <w:tcW w:type="dxa" w:w="2327"/>
            <w:vAlign w:val="center"/>
            <w:tcMar>
              <w:top w:w="55" w:type="dxa"/>
              <w:bottom w:w="55" w:type="dxa"/>
              <w:left w:w="75" w:type="dxa"/>
              <w:right w:w="75" w:type="dxa"/>
            </w:tcMar>
            <w:shd w:fill="FFFFFF"/>
          </w:tcPr>
          <w:p>
            <w:pPr>
              <w:pStyle w:val="TableText"/>
            </w:pPr>
            <w:r>
              <w:t>缓存重算一致性</w:t>
            </w:r>
          </w:p>
        </w:tc>
        <w:tc>
          <w:tcPr>
            <w:tcW w:type="dxa" w:w="3781"/>
            <w:vAlign w:val="center"/>
            <w:tcMar>
              <w:top w:w="55" w:type="dxa"/>
              <w:bottom w:w="55" w:type="dxa"/>
              <w:left w:w="75" w:type="dxa"/>
              <w:right w:w="75" w:type="dxa"/>
            </w:tcMar>
            <w:shd w:fill="FFFFFF"/>
          </w:tcPr>
          <w:p>
            <w:pPr>
              <w:pStyle w:val="TableText"/>
            </w:pPr>
            <w:r>
              <w:t>抽样比较缓存与独立重算</w:t>
            </w:r>
          </w:p>
        </w:tc>
        <w:tc>
          <w:tcPr>
            <w:tcW w:type="dxa" w:w="3587"/>
            <w:vAlign w:val="center"/>
            <w:tcMar>
              <w:top w:w="55" w:type="dxa"/>
              <w:bottom w:w="55" w:type="dxa"/>
              <w:left w:w="75" w:type="dxa"/>
              <w:right w:w="75" w:type="dxa"/>
            </w:tcMar>
            <w:shd w:fill="FFFFFF"/>
          </w:tcPr>
          <w:p>
            <w:pPr>
              <w:pStyle w:val="TableText"/>
            </w:pPr>
            <w:r>
              <w:t>缓存键不足或版本污染</w:t>
            </w:r>
          </w:p>
        </w:tc>
      </w:tr>
      <w:tr>
        <w:trPr>
          <w:cantSplit/>
        </w:trPr>
        <w:tc>
          <w:tcPr>
            <w:tcW w:type="dxa" w:w="2327"/>
            <w:vAlign w:val="center"/>
            <w:tcMar>
              <w:top w:w="55" w:type="dxa"/>
              <w:bottom w:w="55" w:type="dxa"/>
              <w:left w:w="75" w:type="dxa"/>
              <w:right w:w="75" w:type="dxa"/>
            </w:tcMar>
            <w:shd w:fill="F2F6F8"/>
          </w:tcPr>
          <w:p>
            <w:pPr>
              <w:pStyle w:val="TableText"/>
            </w:pPr>
            <w:r>
              <w:t>批处理一致性</w:t>
            </w:r>
          </w:p>
        </w:tc>
        <w:tc>
          <w:tcPr>
            <w:tcW w:type="dxa" w:w="3781"/>
            <w:vAlign w:val="center"/>
            <w:tcMar>
              <w:top w:w="55" w:type="dxa"/>
              <w:bottom w:w="55" w:type="dxa"/>
              <w:left w:w="75" w:type="dxa"/>
              <w:right w:w="75" w:type="dxa"/>
            </w:tcMar>
            <w:shd w:fill="F2F6F8"/>
          </w:tcPr>
          <w:p>
            <w:pPr>
              <w:pStyle w:val="TableText"/>
            </w:pPr>
            <w:r>
              <w:t>单样本与批量、不同合法 padding 对比</w:t>
            </w:r>
          </w:p>
        </w:tc>
        <w:tc>
          <w:tcPr>
            <w:tcW w:type="dxa" w:w="3587"/>
            <w:vAlign w:val="center"/>
            <w:tcMar>
              <w:top w:w="55" w:type="dxa"/>
              <w:bottom w:w="55" w:type="dxa"/>
              <w:left w:w="75" w:type="dxa"/>
              <w:right w:w="75" w:type="dxa"/>
            </w:tcMar>
            <w:shd w:fill="F2F6F8"/>
          </w:tcPr>
          <w:p>
            <w:pPr>
              <w:pStyle w:val="TableText"/>
            </w:pPr>
            <w:r>
              <w:t>掩码、批维或推理模式问题</w:t>
            </w:r>
          </w:p>
        </w:tc>
      </w:tr>
      <w:tr>
        <w:trPr>
          <w:cantSplit/>
        </w:trPr>
        <w:tc>
          <w:tcPr>
            <w:tcW w:type="dxa" w:w="2327"/>
            <w:vAlign w:val="center"/>
            <w:tcMar>
              <w:top w:w="55" w:type="dxa"/>
              <w:bottom w:w="55" w:type="dxa"/>
              <w:left w:w="75" w:type="dxa"/>
              <w:right w:w="75" w:type="dxa"/>
            </w:tcMar>
            <w:shd w:fill="FFFFFF"/>
          </w:tcPr>
          <w:p>
            <w:pPr>
              <w:pStyle w:val="TableText"/>
            </w:pPr>
            <w:r>
              <w:t>执行时序</w:t>
            </w:r>
          </w:p>
        </w:tc>
        <w:tc>
          <w:tcPr>
            <w:tcW w:type="dxa" w:w="3781"/>
            <w:vAlign w:val="center"/>
            <w:tcMar>
              <w:top w:w="55" w:type="dxa"/>
              <w:bottom w:w="55" w:type="dxa"/>
              <w:left w:w="75" w:type="dxa"/>
              <w:right w:w="75" w:type="dxa"/>
            </w:tcMar>
            <w:shd w:fill="FFFFFF"/>
          </w:tcPr>
          <w:p>
            <w:pPr>
              <w:pStyle w:val="TableText"/>
            </w:pPr>
            <w:r>
              <w:t>确认信号可用后才允许成交</w:t>
            </w:r>
          </w:p>
        </w:tc>
        <w:tc>
          <w:tcPr>
            <w:tcW w:type="dxa" w:w="3587"/>
            <w:vAlign w:val="center"/>
            <w:tcMar>
              <w:top w:w="55" w:type="dxa"/>
              <w:bottom w:w="55" w:type="dxa"/>
              <w:left w:w="75" w:type="dxa"/>
              <w:right w:w="75" w:type="dxa"/>
            </w:tcMar>
            <w:shd w:fill="FFFFFF"/>
          </w:tcPr>
          <w:p>
            <w:pPr>
              <w:pStyle w:val="TableText"/>
            </w:pPr>
            <w:r>
              <w:t>同根收盘／开盘的时序偷看</w:t>
            </w:r>
          </w:p>
        </w:tc>
      </w:tr>
      <w:tr>
        <w:trPr>
          <w:cantSplit/>
        </w:trPr>
        <w:tc>
          <w:tcPr>
            <w:tcW w:type="dxa" w:w="2327"/>
            <w:vAlign w:val="center"/>
            <w:tcMar>
              <w:top w:w="55" w:type="dxa"/>
              <w:bottom w:w="55" w:type="dxa"/>
              <w:left w:w="75" w:type="dxa"/>
              <w:right w:w="75" w:type="dxa"/>
            </w:tcMar>
            <w:shd w:fill="F2F6F8"/>
          </w:tcPr>
          <w:p>
            <w:pPr>
              <w:pStyle w:val="TableText"/>
            </w:pPr>
            <w:r>
              <w:t>滚动指标稳定性</w:t>
            </w:r>
          </w:p>
        </w:tc>
        <w:tc>
          <w:tcPr>
            <w:tcW w:type="dxa" w:w="3781"/>
            <w:vAlign w:val="center"/>
            <w:tcMar>
              <w:top w:w="55" w:type="dxa"/>
              <w:bottom w:w="55" w:type="dxa"/>
              <w:left w:w="75" w:type="dxa"/>
              <w:right w:w="75" w:type="dxa"/>
            </w:tcMar>
            <w:shd w:fill="F2F6F8"/>
          </w:tcPr>
          <w:p>
            <w:pPr>
              <w:pStyle w:val="TableText"/>
            </w:pPr>
            <w:r>
              <w:t>比较不同足够长历史启动长度</w:t>
            </w:r>
          </w:p>
        </w:tc>
        <w:tc>
          <w:tcPr>
            <w:tcW w:type="dxa" w:w="3587"/>
            <w:vAlign w:val="center"/>
            <w:tcMar>
              <w:top w:w="55" w:type="dxa"/>
              <w:bottom w:w="55" w:type="dxa"/>
              <w:left w:w="75" w:type="dxa"/>
              <w:right w:w="75" w:type="dxa"/>
            </w:tcMar>
            <w:shd w:fill="F2F6F8"/>
          </w:tcPr>
          <w:p>
            <w:pPr>
              <w:pStyle w:val="TableText"/>
            </w:pPr>
            <w:r>
              <w:t>递归指标未收敛或历史不足</w:t>
            </w:r>
          </w:p>
        </w:tc>
      </w:tr>
    </w:tbl>
    <w:p>
      <w:pPr>
        <w:spacing w:after="0" w:before="0" w:line="80" w:lineRule="exact"/>
      </w:pPr>
      <w:r>
        <w:rPr>
          <w:sz w:val="4"/>
        </w:rPr>
      </w:r>
    </w:p>
    <w:p>
      <w:r>
        <w:t>Freqtrade 的 lookahead-analysis 与 recursive-analysis 有助于检查策略层，但它们不能证明外部模型、训练数据、上游缓存和 checkpoint 来源全部无泄漏。通过这些命令只是审计的一部分。</w:t>
      </w:r>
      <w:hyperlink w:anchor="ref12">
        <w:r>
          <w:rPr>
            <w:color w:val="167A86"/>
            <w:rFonts w:ascii="Carlito" w:hAnsi="Carlito" w:eastAsia="Noto Sans CJK SC"/>
            <w:sz w:val="19"/>
          </w:rPr>
          <w:t>[12]</w:t>
        </w:r>
      </w:hyperlink>
      <w:hyperlink w:anchor="ref13">
        <w:r>
          <w:rPr>
            <w:color w:val="167A86"/>
            <w:rFonts w:ascii="Carlito" w:hAnsi="Carlito" w:eastAsia="Noto Sans CJK SC"/>
            <w:sz w:val="19"/>
          </w:rPr>
          <w:t>[13]</w:t>
        </w:r>
      </w:hyperlink>
    </w:p>
    <w:p>
      <w:pPr>
        <w:pStyle w:val="Heading2"/>
      </w:pPr>
      <w:r>
        <w:t>14.5 统计单位和报告口径</w:t>
      </w:r>
    </w:p>
    <w:p>
      <w:r>
        <w:t>单期收益、重叠持有期标签和同时刻多资产并非大量独立证据。评估模型差异时，按共同时间块对各模型的组合收益一起重采样，保留时序与横截面结构；块长应做预先限定的敏感性检查。</w:t>
      </w:r>
    </w:p>
    <w:p>
      <w:r>
        <w:t>同时报告预测和经济指标：损失／校准、样本外净收益、波动与回撤、换手、资金费用、容量假设、收益集中度、各折结果及配对差异区间。收益曲线更平滑不自动意味着均值更高。</w:t>
      </w:r>
    </w:p>
    <w:p>
      <w:r>
        <w:t>对策略搜索保留全部尝试，必要时使用 Deflated Sharpe Ratio 等选择偏差诊断。其结果依赖试验相关性、有效尝试数和分布假设；不能把一个修正统计量当作盈利保证，也不能替代前瞻验证。</w:t>
      </w:r>
      <w:hyperlink w:anchor="ref15">
        <w:r>
          <w:rPr>
            <w:color w:val="167A86"/>
            <w:rFonts w:ascii="Carlito" w:hAnsi="Carlito" w:eastAsia="Noto Sans CJK SC"/>
            <w:sz w:val="19"/>
          </w:rPr>
          <w:t>[15]</w:t>
        </w:r>
      </w:hyperlink>
    </w:p>
    <w:p>
      <w:pPr>
        <w:pStyle w:val="Heading2"/>
      </w:pPr>
      <w:r>
        <w:t>14.6 交易成本、成交与幸存者偏差</w:t>
      </w:r>
    </w:p>
    <w:p>
      <w:r>
        <w:t>手续费至少包含双边成本；滑点与冲击按交易类型和规模明确；资金费用按持仓和结算记账。maker 订单不能一概假设全部成交且无不利选择。K 线级回测对根内价格顺序、队列与流动性存在局限，需做保守假设或细粒度回放。</w:t>
      </w:r>
      <w:hyperlink w:anchor="ref14">
        <w:r>
          <w:rPr>
            <w:color w:val="167A86"/>
            <w:rFonts w:ascii="Carlito" w:hAnsi="Carlito" w:eastAsia="Noto Sans CJK SC"/>
            <w:sz w:val="19"/>
          </w:rPr>
          <w:t>[14]</w:t>
        </w:r>
      </w:hyperlink>
    </w:p>
    <w:p>
      <w:r>
        <w:t>可预先设置基准、提高费用／滑点、增加执行延迟等压力情景。提高倍数是研究假设，不是对真实最坏情况的精确描述。历史币种池应保留上市、退市、停牌、交易对转换和缺失状态。</w:t>
      </w:r>
    </w:p>
    <w:p>
      <w:r>
        <w:t>最终通过标准应在研究前定义最小经济贡献与成本容忍度，不必要求一个机械的 p 值门槛。若置信区间仍很宽，结论应是证据不足，而不是自动认定无效或有效。</w:t>
      </w:r>
    </w:p>
    <w:p>
      <w:pPr>
        <w:pStyle w:val="Heading1"/>
      </w:pPr>
      <w:bookmarkStart w:id="16" w:name="sec15"/>
      <w:r>
        <w:t>15 工程分层、资源预算与 Freqtrade 接入</w:t>
      </w:r>
      <w:bookmarkEnd w:id="16"/>
    </w:p>
    <w:p>
      <w:pPr>
        <w:pStyle w:val="Heading2"/>
      </w:pPr>
      <w:r>
        <w:t>15.1 建议目录与职责</w:t>
      </w:r>
    </w:p>
    <w:p>
      <w:pPr>
        <w:pStyle w:val="CodeBlock"/>
        <w:keepNext/>
        <w:shd w:fill="EFF5F7"/>
      </w:pPr>
      <w:r>
        <w:t>kronos_lab/</w:t>
      </w:r>
    </w:p>
    <w:p>
      <w:pPr>
        <w:pStyle w:val="CodeBlock"/>
        <w:keepNext/>
        <w:shd w:fill="EFF5F7"/>
      </w:pPr>
      <w:r>
        <w:t xml:space="preserve">  configs/          # 数据、模型、成本、切分、实验预算</w:t>
      </w:r>
    </w:p>
    <w:p>
      <w:pPr>
        <w:pStyle w:val="CodeBlock"/>
        <w:keepNext/>
        <w:shd w:fill="EFF5F7"/>
      </w:pPr>
      <w:r>
        <w:t xml:space="preserve">  data_contracts/   # 时间、单位、版本与可用性规则</w:t>
      </w:r>
    </w:p>
    <w:p>
      <w:pPr>
        <w:pStyle w:val="CodeBlock"/>
        <w:keepNext/>
        <w:shd w:fill="EFF5F7"/>
      </w:pPr>
      <w:r>
        <w:t xml:space="preserve">  features/         # 纯因果价量特征与状态对齐</w:t>
      </w:r>
    </w:p>
    <w:p>
      <w:pPr>
        <w:pStyle w:val="CodeBlock"/>
        <w:keepNext/>
        <w:shd w:fill="EFF5F7"/>
      </w:pPr>
      <w:r>
        <w:t xml:space="preserve">  encoders/         # Kronos 适配器与表征诊断</w:t>
      </w:r>
    </w:p>
    <w:p>
      <w:pPr>
        <w:pStyle w:val="CodeBlock"/>
        <w:keepNext/>
        <w:shd w:fill="EFF5F7"/>
      </w:pPr>
      <w:r>
        <w:t xml:space="preserve">  heads/            # 收益、参与度、风险、排序</w:t>
      </w:r>
    </w:p>
    <w:p>
      <w:pPr>
        <w:pStyle w:val="CodeBlock"/>
        <w:keepNext/>
        <w:shd w:fill="EFF5F7"/>
      </w:pPr>
      <w:r>
        <w:t xml:space="preserve">  training/         # 固定折训练、校准、checkpoint 管理</w:t>
      </w:r>
    </w:p>
    <w:p>
      <w:pPr>
        <w:pStyle w:val="CodeBlock"/>
        <w:keepNext/>
        <w:shd w:fill="EFF5F7"/>
      </w:pPr>
      <w:r>
        <w:t xml:space="preserve">  evaluation/       # 配对对照、成本压力、统计报告</w:t>
      </w:r>
    </w:p>
    <w:p>
      <w:pPr>
        <w:pStyle w:val="CodeBlock"/>
        <w:keepNext/>
        <w:shd w:fill="EFF5F7"/>
      </w:pPr>
      <w:r>
        <w:t xml:space="preserve">  adapters/         # Freqtrade 预测文件与策略接口</w:t>
      </w:r>
    </w:p>
    <w:p>
      <w:pPr>
        <w:pStyle w:val="CodeBlock"/>
        <w:keepNext/>
        <w:shd w:fill="EFF5F7"/>
      </w:pPr>
      <w:r>
        <w:t xml:space="preserve">  registry/         # 试验来源、失败记录、晋级状态</w:t>
      </w:r>
    </w:p>
    <w:p>
      <w:pPr>
        <w:pStyle w:val="CodeBlock"/>
        <w:keepNext w:val="0"/>
        <w:shd w:fill="EFF5F7"/>
      </w:pPr>
      <w:r>
        <w:t xml:space="preserve">  tests/            # 因果、缓存、批量与执行时序测试</w:t>
      </w:r>
    </w:p>
    <w:p>
      <w:pPr>
        <w:spacing w:after="20"/>
      </w:pPr>
    </w:p>
    <w:p>
      <w:r>
        <w:t>这是建议结构，不是声称现有仓库已经提供这些模块。尽量将修改封装在薄适配层中，少量必要补丁固定在独立分支，避免直接把研究逻辑散落到上游模型文件里。</w:t>
      </w:r>
    </w:p>
    <w:p>
      <w:pPr>
        <w:pStyle w:val="Heading2"/>
      </w:pPr>
      <w:r>
        <w:t>15.2 研究层与交易回放层分离</w:t>
      </w:r>
    </w:p>
    <w:p>
      <w:r>
        <w:t>研究层完成数据对齐、训练、表征提取和每折样本外预测；Freqtrade 接收已带来源信息的预测，执行一致策略和交易回放。第一版不在每次策略回测内部重新训练模型。</w:t>
      </w:r>
    </w:p>
    <w:p>
      <w:r>
        <w:t xml:space="preserve">现有 </w:t>
      </w:r>
      <w:r>
        <w:rPr>
          <w:rFonts w:ascii="Carlito" w:hAnsi="Carlito" w:eastAsia="Noto Sans CJK SC"/>
          <w:color w:val="167A86"/>
        </w:rPr>
        <w:t>/home/athena/ft_userdata</w:t>
      </w:r>
      <w:r>
        <w:t xml:space="preserve"> 作为接入目标，先使用隔离的策略名、配置副本和输出路径。保留原数据与配置，不覆盖用户已有策略。接入时明确 Freqtrade candle 的日期口径和实际成交时点，以可用时间而非“看起来相同的 date”连接预测。</w:t>
      </w:r>
    </w:p>
    <w:p>
      <w:r>
        <w:t>外部预测读取应有最大陈旧时长；缺失或过期时进入预定安全状态，例如不新开仓。关闭状态与保留旧仓的行为需要分别定义，不能让数据缺失隐式变成反向信号。</w:t>
      </w:r>
    </w:p>
    <w:p>
      <w:pPr>
        <w:pStyle w:val="Heading2"/>
      </w:pPr>
      <w:r>
        <w:t>15.3 两种不同的缓存</w:t>
      </w:r>
    </w:p>
    <w:p>
      <w:r>
        <w:rPr>
          <w:b/>
        </w:rPr>
        <w:t>表征缓存</w:t>
      </w:r>
      <w:r>
        <w:t>以资产、历史窗口、模型／tokenizer 版本、标准化和数据快照为键。冻结模型且完全相同窗口时可复用；只改变读出器可以不重新跑骨干。</w:t>
      </w:r>
    </w:p>
    <w:p>
      <w:r>
        <w:rPr>
          <w:b/>
        </w:rPr>
        <w:t>预测缓存</w:t>
      </w:r>
      <w:r>
        <w:t>还必须包含读出器、校准器、fold、训练与验证边界。不能用在较晚数据上训练的模型回头生成早期“样本外”信号；也不能用最新模型重新计算旧折后覆盖历史预测。</w:t>
      </w:r>
    </w:p>
    <w:p>
      <w:r>
        <w:t>缓存文件采用不可变输出与内容校验，实验注册表只引用这些文件。同一字段定义变更应升级 schema_version，而不是原地改写后继续沿用旧结果。</w:t>
      </w:r>
    </w:p>
    <w:p>
      <w:pPr>
        <w:pStyle w:val="Heading2"/>
        <w:pageBreakBefore/>
      </w:pPr>
      <w:r>
        <w:t>15.4 8GB 显存条件下的建议</w:t>
      </w:r>
    </w:p>
    <w:p>
      <w:r>
        <w:t>先以 Kronos-small 冻结推理、短批量、固定上下文完成性能基准；记录预热后吞吐与峰值显存。随后再测试末层解冻和全量微调。24.7M 参数并不意味着必须使用 LoRA，也不保证任何 batch 都能运行。</w:t>
      </w:r>
      <w:hyperlink w:anchor="ref09">
        <w:r>
          <w:rPr>
            <w:color w:val="167A86"/>
            <w:rFonts w:ascii="Carlito" w:hAnsi="Carlito" w:eastAsia="Noto Sans CJK SC"/>
            <w:sz w:val="19"/>
          </w:rPr>
          <w:t>[09]</w:t>
        </w:r>
      </w:hyperlink>
    </w:p>
    <w:p>
      <w:r>
        <w:t>优先削减重复骨干计算和无用多路径生成，再考虑混合精度、梯度累积与检查点技术。改变数值精度后要重做一致性测试。CPU 服务器可承担数据整理、特征、回测和报告，GPU 主要承担编码与训练；具体安排依实测而定。</w:t>
      </w:r>
    </w:p>
    <w:p>
      <w:r>
        <w:t>不要提前把大规模 KV cache 工程列为 P0。冻结末端表征只需历史前向；滚动标准化或滑窗变化还可能使跨窗口缓存失去等价性。任何推理加速都要与参考实现做数值和任务结果对照。</w:t>
      </w:r>
    </w:p>
    <w:p>
      <w:pPr>
        <w:pStyle w:val="Heading2"/>
      </w:pPr>
      <w:r>
        <w:t>15.5 应有的工件清单</w:t>
      </w:r>
    </w:p>
    <w:p>
      <w:r>
        <w:t>每次实验至少保存配置快照、依赖版本、代码提交、数据 manifest、权重校验、切分定义、训练日志、原始样本外预测、组合流水、指标和失败原因。报告必须能从这些不可变工件重建。</w:t>
      </w:r>
    </w:p>
    <w:p>
      <w:r>
        <w:t>对完整研究系统，工程验收首先是“重跑得到同一结论、任意信号可追溯”，而不是“界面显示漂亮的预测图”。</w:t>
      </w:r>
    </w:p>
    <w:p>
      <w:pPr>
        <w:pStyle w:val="Heading1"/>
      </w:pPr>
      <w:bookmarkStart w:id="17" w:name="sec16"/>
      <w:r>
        <w:t>16 分阶段执行、晋级与停止条件</w:t>
      </w:r>
      <w:bookmarkEnd w:id="17"/>
    </w:p>
    <w:p>
      <w:pPr>
        <w:pStyle w:val="Heading2"/>
      </w:pPr>
      <w:r>
        <w:t>16.1 推荐里程碑</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1842"/>
        <w:gridCol w:w="2617"/>
        <w:gridCol w:w="2423"/>
        <w:gridCol w:w="2811"/>
      </w:tblGrid>
      <w:tr>
        <w:trPr>
          <w:cantSplit/>
          <w:tblHeader/>
        </w:trPr>
        <w:tc>
          <w:tcPr>
            <w:tcW w:type="dxa" w:w="1842"/>
            <w:vAlign w:val="center"/>
            <w:tcMar>
              <w:top w:w="55" w:type="dxa"/>
              <w:bottom w:w="55" w:type="dxa"/>
              <w:left w:w="75" w:type="dxa"/>
              <w:right w:w="75" w:type="dxa"/>
            </w:tcMar>
            <w:shd w:fill="173444"/>
          </w:tcPr>
          <w:p>
            <w:pPr>
              <w:pStyle w:val="TableText"/>
              <w:keepNext/>
            </w:pPr>
            <w:r>
              <w:rPr>
                <w:b/>
                <w:color w:val="FFFFFF"/>
                <w:sz w:val="18"/>
              </w:rPr>
              <w:t>阶段</w:t>
            </w:r>
          </w:p>
        </w:tc>
        <w:tc>
          <w:tcPr>
            <w:tcW w:type="dxa" w:w="2617"/>
            <w:vAlign w:val="center"/>
            <w:tcMar>
              <w:top w:w="55" w:type="dxa"/>
              <w:bottom w:w="55" w:type="dxa"/>
              <w:left w:w="75" w:type="dxa"/>
              <w:right w:w="75" w:type="dxa"/>
            </w:tcMar>
            <w:shd w:fill="173444"/>
          </w:tcPr>
          <w:p>
            <w:pPr>
              <w:pStyle w:val="TableText"/>
              <w:keepNext/>
            </w:pPr>
            <w:r>
              <w:rPr>
                <w:b/>
                <w:color w:val="FFFFFF"/>
                <w:sz w:val="18"/>
              </w:rPr>
              <w:t>最小工作</w:t>
            </w:r>
          </w:p>
        </w:tc>
        <w:tc>
          <w:tcPr>
            <w:tcW w:type="dxa" w:w="2423"/>
            <w:vAlign w:val="center"/>
            <w:tcMar>
              <w:top w:w="55" w:type="dxa"/>
              <w:bottom w:w="55" w:type="dxa"/>
              <w:left w:w="75" w:type="dxa"/>
              <w:right w:w="75" w:type="dxa"/>
            </w:tcMar>
            <w:shd w:fill="173444"/>
          </w:tcPr>
          <w:p>
            <w:pPr>
              <w:pStyle w:val="TableText"/>
              <w:keepNext/>
            </w:pPr>
            <w:r>
              <w:rPr>
                <w:b/>
                <w:color w:val="FFFFFF"/>
                <w:sz w:val="18"/>
              </w:rPr>
              <w:t>必须交付</w:t>
            </w:r>
          </w:p>
        </w:tc>
        <w:tc>
          <w:tcPr>
            <w:tcW w:type="dxa" w:w="2811"/>
            <w:vAlign w:val="center"/>
            <w:tcMar>
              <w:top w:w="55" w:type="dxa"/>
              <w:bottom w:w="55" w:type="dxa"/>
              <w:left w:w="75" w:type="dxa"/>
              <w:right w:w="75" w:type="dxa"/>
            </w:tcMar>
            <w:shd w:fill="173444"/>
          </w:tcPr>
          <w:p>
            <w:pPr>
              <w:pStyle w:val="TableText"/>
              <w:keepNext/>
            </w:pPr>
            <w:r>
              <w:rPr>
                <w:b/>
                <w:color w:val="FFFFFF"/>
                <w:sz w:val="18"/>
              </w:rPr>
              <w:t>晋级条件</w:t>
            </w:r>
          </w:p>
        </w:tc>
      </w:tr>
      <w:tr>
        <w:trPr>
          <w:cantSplit/>
        </w:trPr>
        <w:tc>
          <w:tcPr>
            <w:tcW w:type="dxa" w:w="1842"/>
            <w:vAlign w:val="center"/>
            <w:tcMar>
              <w:top w:w="55" w:type="dxa"/>
              <w:bottom w:w="55" w:type="dxa"/>
              <w:left w:w="75" w:type="dxa"/>
              <w:right w:w="75" w:type="dxa"/>
            </w:tcMar>
            <w:shd w:fill="FFFFFF"/>
          </w:tcPr>
          <w:p>
            <w:pPr>
              <w:pStyle w:val="TableText"/>
            </w:pPr>
            <w:r>
              <w:t>M0：可信基座</w:t>
            </w:r>
          </w:p>
        </w:tc>
        <w:tc>
          <w:tcPr>
            <w:tcW w:type="dxa" w:w="2617"/>
            <w:vAlign w:val="center"/>
            <w:tcMar>
              <w:top w:w="55" w:type="dxa"/>
              <w:bottom w:w="55" w:type="dxa"/>
              <w:left w:w="75" w:type="dxa"/>
              <w:right w:w="75" w:type="dxa"/>
            </w:tcMar>
            <w:shd w:fill="FFFFFF"/>
          </w:tcPr>
          <w:p>
            <w:pPr>
              <w:pStyle w:val="TableText"/>
            </w:pPr>
            <w:r>
              <w:t>固定数据契约、时序、成本、基线和版本</w:t>
            </w:r>
          </w:p>
        </w:tc>
        <w:tc>
          <w:tcPr>
            <w:tcW w:type="dxa" w:w="2423"/>
            <w:vAlign w:val="center"/>
            <w:tcMar>
              <w:top w:w="55" w:type="dxa"/>
              <w:bottom w:w="55" w:type="dxa"/>
              <w:left w:w="75" w:type="dxa"/>
              <w:right w:w="75" w:type="dxa"/>
            </w:tcMar>
            <w:shd w:fill="FFFFFF"/>
          </w:tcPr>
          <w:p>
            <w:pPr>
              <w:pStyle w:val="TableText"/>
            </w:pPr>
            <w:r>
              <w:t>审计测试与基线流水</w:t>
            </w:r>
          </w:p>
        </w:tc>
        <w:tc>
          <w:tcPr>
            <w:tcW w:type="dxa" w:w="2811"/>
            <w:vAlign w:val="center"/>
            <w:tcMar>
              <w:top w:w="55" w:type="dxa"/>
              <w:bottom w:w="55" w:type="dxa"/>
              <w:left w:w="75" w:type="dxa"/>
              <w:right w:w="75" w:type="dxa"/>
            </w:tcMar>
            <w:shd w:fill="FFFFFF"/>
          </w:tcPr>
          <w:p>
            <w:pPr>
              <w:pStyle w:val="TableText"/>
            </w:pPr>
            <w:r>
              <w:t>关键泄漏测试通过</w:t>
            </w:r>
          </w:p>
        </w:tc>
      </w:tr>
      <w:tr>
        <w:trPr>
          <w:cantSplit/>
        </w:trPr>
        <w:tc>
          <w:tcPr>
            <w:tcW w:type="dxa" w:w="1842"/>
            <w:vAlign w:val="center"/>
            <w:tcMar>
              <w:top w:w="55" w:type="dxa"/>
              <w:bottom w:w="55" w:type="dxa"/>
              <w:left w:w="75" w:type="dxa"/>
              <w:right w:w="75" w:type="dxa"/>
            </w:tcMar>
            <w:shd w:fill="F2F6F8"/>
          </w:tcPr>
          <w:p>
            <w:pPr>
              <w:pStyle w:val="TableText"/>
            </w:pPr>
            <w:r>
              <w:t>M1：表征价值</w:t>
            </w:r>
          </w:p>
        </w:tc>
        <w:tc>
          <w:tcPr>
            <w:tcW w:type="dxa" w:w="2617"/>
            <w:vAlign w:val="center"/>
            <w:tcMar>
              <w:top w:w="55" w:type="dxa"/>
              <w:bottom w:w="55" w:type="dxa"/>
              <w:left w:w="75" w:type="dxa"/>
              <w:right w:w="75" w:type="dxa"/>
            </w:tcMar>
            <w:shd w:fill="F2F6F8"/>
          </w:tcPr>
          <w:p>
            <w:pPr>
              <w:pStyle w:val="TableText"/>
            </w:pPr>
            <w:r>
              <w:t>冻结表征、简单／小非线性读出、随机骨干对照</w:t>
            </w:r>
          </w:p>
        </w:tc>
        <w:tc>
          <w:tcPr>
            <w:tcW w:type="dxa" w:w="2423"/>
            <w:vAlign w:val="center"/>
            <w:tcMar>
              <w:top w:w="55" w:type="dxa"/>
              <w:bottom w:w="55" w:type="dxa"/>
              <w:left w:w="75" w:type="dxa"/>
              <w:right w:w="75" w:type="dxa"/>
            </w:tcMar>
            <w:shd w:fill="F2F6F8"/>
          </w:tcPr>
          <w:p>
            <w:pPr>
              <w:pStyle w:val="TableText"/>
            </w:pPr>
            <w:r>
              <w:t>配对样本外结果</w:t>
            </w:r>
          </w:p>
        </w:tc>
        <w:tc>
          <w:tcPr>
            <w:tcW w:type="dxa" w:w="2811"/>
            <w:vAlign w:val="center"/>
            <w:tcMar>
              <w:top w:w="55" w:type="dxa"/>
              <w:bottom w:w="55" w:type="dxa"/>
              <w:left w:w="75" w:type="dxa"/>
              <w:right w:w="75" w:type="dxa"/>
            </w:tcMar>
            <w:shd w:fill="F2F6F8"/>
          </w:tcPr>
          <w:p>
            <w:pPr>
              <w:pStyle w:val="TableText"/>
            </w:pPr>
            <w:r>
              <w:t>出现可重复增量或明确诊断</w:t>
            </w:r>
          </w:p>
        </w:tc>
      </w:tr>
      <w:tr>
        <w:trPr>
          <w:cantSplit/>
        </w:trPr>
        <w:tc>
          <w:tcPr>
            <w:tcW w:type="dxa" w:w="1842"/>
            <w:vAlign w:val="center"/>
            <w:tcMar>
              <w:top w:w="55" w:type="dxa"/>
              <w:bottom w:w="55" w:type="dxa"/>
              <w:left w:w="75" w:type="dxa"/>
              <w:right w:w="75" w:type="dxa"/>
            </w:tcMar>
            <w:shd w:fill="FFFFFF"/>
          </w:tcPr>
          <w:p>
            <w:pPr>
              <w:pStyle w:val="TableText"/>
            </w:pPr>
            <w:r>
              <w:t>M2：任务适配</w:t>
            </w:r>
          </w:p>
        </w:tc>
        <w:tc>
          <w:tcPr>
            <w:tcW w:type="dxa" w:w="2617"/>
            <w:vAlign w:val="center"/>
            <w:tcMar>
              <w:top w:w="55" w:type="dxa"/>
              <w:bottom w:w="55" w:type="dxa"/>
              <w:left w:w="75" w:type="dxa"/>
              <w:right w:w="75" w:type="dxa"/>
            </w:tcMar>
            <w:shd w:fill="FFFFFF"/>
          </w:tcPr>
          <w:p>
            <w:pPr>
              <w:pStyle w:val="TableText"/>
            </w:pPr>
            <w:r>
              <w:t>固定动量门控；或风险／排序替代任务</w:t>
            </w:r>
          </w:p>
        </w:tc>
        <w:tc>
          <w:tcPr>
            <w:tcW w:type="dxa" w:w="2423"/>
            <w:vAlign w:val="center"/>
            <w:tcMar>
              <w:top w:w="55" w:type="dxa"/>
              <w:bottom w:w="55" w:type="dxa"/>
              <w:left w:w="75" w:type="dxa"/>
              <w:right w:w="75" w:type="dxa"/>
            </w:tcMar>
            <w:shd w:fill="FFFFFF"/>
          </w:tcPr>
          <w:p>
            <w:pPr>
              <w:pStyle w:val="TableText"/>
            </w:pPr>
            <w:r>
              <w:t>风险匹配、净成本结果</w:t>
            </w:r>
          </w:p>
        </w:tc>
        <w:tc>
          <w:tcPr>
            <w:tcW w:type="dxa" w:w="2811"/>
            <w:vAlign w:val="center"/>
            <w:tcMar>
              <w:top w:w="55" w:type="dxa"/>
              <w:bottom w:w="55" w:type="dxa"/>
              <w:left w:w="75" w:type="dxa"/>
              <w:right w:w="75" w:type="dxa"/>
            </w:tcMar>
            <w:shd w:fill="FFFFFF"/>
          </w:tcPr>
          <w:p>
            <w:pPr>
              <w:pStyle w:val="TableText"/>
            </w:pPr>
            <w:r>
              <w:t>增益不是单纯缩仓或暴露</w:t>
            </w:r>
          </w:p>
        </w:tc>
      </w:tr>
      <w:tr>
        <w:trPr>
          <w:cantSplit/>
        </w:trPr>
        <w:tc>
          <w:tcPr>
            <w:tcW w:type="dxa" w:w="1842"/>
            <w:vAlign w:val="center"/>
            <w:tcMar>
              <w:top w:w="55" w:type="dxa"/>
              <w:bottom w:w="55" w:type="dxa"/>
              <w:left w:w="75" w:type="dxa"/>
              <w:right w:w="75" w:type="dxa"/>
            </w:tcMar>
            <w:shd w:fill="F2F6F8"/>
          </w:tcPr>
          <w:p>
            <w:pPr>
              <w:pStyle w:val="TableText"/>
            </w:pPr>
            <w:r>
              <w:t>M3：信息与分布</w:t>
            </w:r>
          </w:p>
        </w:tc>
        <w:tc>
          <w:tcPr>
            <w:tcW w:type="dxa" w:w="2617"/>
            <w:vAlign w:val="center"/>
            <w:tcMar>
              <w:top w:w="55" w:type="dxa"/>
              <w:bottom w:w="55" w:type="dxa"/>
              <w:left w:w="75" w:type="dxa"/>
              <w:right w:w="75" w:type="dxa"/>
            </w:tcMar>
            <w:shd w:fill="F2F6F8"/>
          </w:tcPr>
          <w:p>
            <w:pPr>
              <w:pStyle w:val="TableText"/>
            </w:pPr>
            <w:r>
              <w:t>可靠状态后融合、继续训练、温和加权</w:t>
            </w:r>
          </w:p>
        </w:tc>
        <w:tc>
          <w:tcPr>
            <w:tcW w:type="dxa" w:w="2423"/>
            <w:vAlign w:val="center"/>
            <w:tcMar>
              <w:top w:w="55" w:type="dxa"/>
              <w:bottom w:w="55" w:type="dxa"/>
              <w:left w:w="75" w:type="dxa"/>
              <w:right w:w="75" w:type="dxa"/>
            </w:tcMar>
            <w:shd w:fill="F2F6F8"/>
          </w:tcPr>
          <w:p>
            <w:pPr>
              <w:pStyle w:val="TableText"/>
            </w:pPr>
            <w:r>
              <w:t>四格消融与前后比较</w:t>
            </w:r>
          </w:p>
        </w:tc>
        <w:tc>
          <w:tcPr>
            <w:tcW w:type="dxa" w:w="2811"/>
            <w:vAlign w:val="center"/>
            <w:tcMar>
              <w:top w:w="55" w:type="dxa"/>
              <w:bottom w:w="55" w:type="dxa"/>
              <w:left w:w="75" w:type="dxa"/>
              <w:right w:w="75" w:type="dxa"/>
            </w:tcMar>
            <w:shd w:fill="F2F6F8"/>
          </w:tcPr>
          <w:p>
            <w:pPr>
              <w:pStyle w:val="TableText"/>
            </w:pPr>
            <w:r>
              <w:t>增益来源可识别</w:t>
            </w:r>
          </w:p>
        </w:tc>
      </w:tr>
      <w:tr>
        <w:trPr>
          <w:cantSplit/>
        </w:trPr>
        <w:tc>
          <w:tcPr>
            <w:tcW w:type="dxa" w:w="1842"/>
            <w:vAlign w:val="center"/>
            <w:tcMar>
              <w:top w:w="55" w:type="dxa"/>
              <w:bottom w:w="55" w:type="dxa"/>
              <w:left w:w="75" w:type="dxa"/>
              <w:right w:w="75" w:type="dxa"/>
            </w:tcMar>
            <w:shd w:fill="FFFFFF"/>
          </w:tcPr>
          <w:p>
            <w:pPr>
              <w:pStyle w:val="TableText"/>
            </w:pPr>
            <w:r>
              <w:t>M4：结构改造</w:t>
            </w:r>
          </w:p>
        </w:tc>
        <w:tc>
          <w:tcPr>
            <w:tcW w:type="dxa" w:w="2617"/>
            <w:vAlign w:val="center"/>
            <w:tcMar>
              <w:top w:w="55" w:type="dxa"/>
              <w:bottom w:w="55" w:type="dxa"/>
              <w:left w:w="75" w:type="dxa"/>
              <w:right w:w="75" w:type="dxa"/>
            </w:tcMar>
            <w:shd w:fill="FFFFFF"/>
          </w:tcPr>
          <w:p>
            <w:pPr>
              <w:pStyle w:val="TableText"/>
            </w:pPr>
            <w:r>
              <w:t>事件辅助、量化诊断驱动的 tokenizer 改造</w:t>
            </w:r>
          </w:p>
        </w:tc>
        <w:tc>
          <w:tcPr>
            <w:tcW w:type="dxa" w:w="2423"/>
            <w:vAlign w:val="center"/>
            <w:tcMar>
              <w:top w:w="55" w:type="dxa"/>
              <w:bottom w:w="55" w:type="dxa"/>
              <w:left w:w="75" w:type="dxa"/>
              <w:right w:w="75" w:type="dxa"/>
            </w:tcMar>
            <w:shd w:fill="FFFFFF"/>
          </w:tcPr>
          <w:p>
            <w:pPr>
              <w:pStyle w:val="TableText"/>
            </w:pPr>
            <w:r>
              <w:t>同任务、同信息对照</w:t>
            </w:r>
          </w:p>
        </w:tc>
        <w:tc>
          <w:tcPr>
            <w:tcW w:type="dxa" w:w="2811"/>
            <w:vAlign w:val="center"/>
            <w:tcMar>
              <w:top w:w="55" w:type="dxa"/>
              <w:bottom w:w="55" w:type="dxa"/>
              <w:left w:w="75" w:type="dxa"/>
              <w:right w:w="75" w:type="dxa"/>
            </w:tcMar>
            <w:shd w:fill="FFFFFF"/>
          </w:tcPr>
          <w:p>
            <w:pPr>
              <w:pStyle w:val="TableText"/>
            </w:pPr>
            <w:r>
              <w:t>低成本版本无法解释增益</w:t>
            </w:r>
          </w:p>
        </w:tc>
      </w:tr>
      <w:tr>
        <w:trPr>
          <w:cantSplit/>
        </w:trPr>
        <w:tc>
          <w:tcPr>
            <w:tcW w:type="dxa" w:w="1842"/>
            <w:vAlign w:val="center"/>
            <w:tcMar>
              <w:top w:w="55" w:type="dxa"/>
              <w:bottom w:w="55" w:type="dxa"/>
              <w:left w:w="75" w:type="dxa"/>
              <w:right w:w="75" w:type="dxa"/>
            </w:tcMar>
            <w:shd w:fill="F2F6F8"/>
          </w:tcPr>
          <w:p>
            <w:pPr>
              <w:pStyle w:val="TableText"/>
            </w:pPr>
            <w:r>
              <w:t>M5：受限搜索</w:t>
            </w:r>
          </w:p>
        </w:tc>
        <w:tc>
          <w:tcPr>
            <w:tcW w:type="dxa" w:w="2617"/>
            <w:vAlign w:val="center"/>
            <w:tcMar>
              <w:top w:w="55" w:type="dxa"/>
              <w:bottom w:w="55" w:type="dxa"/>
              <w:left w:w="75" w:type="dxa"/>
              <w:right w:w="75" w:type="dxa"/>
            </w:tcMar>
            <w:shd w:fill="F2F6F8"/>
          </w:tcPr>
          <w:p>
            <w:pPr>
              <w:pStyle w:val="TableText"/>
            </w:pPr>
            <w:r>
              <w:t>概念接口、有限符号搜索、试验治理</w:t>
            </w:r>
          </w:p>
        </w:tc>
        <w:tc>
          <w:tcPr>
            <w:tcW w:type="dxa" w:w="2423"/>
            <w:vAlign w:val="center"/>
            <w:tcMar>
              <w:top w:w="55" w:type="dxa"/>
              <w:bottom w:w="55" w:type="dxa"/>
              <w:left w:w="75" w:type="dxa"/>
              <w:right w:w="75" w:type="dxa"/>
            </w:tcMar>
            <w:shd w:fill="F2F6F8"/>
          </w:tcPr>
          <w:p>
            <w:pPr>
              <w:pStyle w:val="TableText"/>
            </w:pPr>
            <w:r>
              <w:t>全候选记录与锁定测试</w:t>
            </w:r>
          </w:p>
        </w:tc>
        <w:tc>
          <w:tcPr>
            <w:tcW w:type="dxa" w:w="2811"/>
            <w:vAlign w:val="center"/>
            <w:tcMar>
              <w:top w:w="55" w:type="dxa"/>
              <w:bottom w:w="55" w:type="dxa"/>
              <w:left w:w="75" w:type="dxa"/>
              <w:right w:w="75" w:type="dxa"/>
            </w:tcMar>
            <w:shd w:fill="F2F6F8"/>
          </w:tcPr>
          <w:p>
            <w:pPr>
              <w:pStyle w:val="TableText"/>
            </w:pPr>
            <w:r>
              <w:t>简单系统已稳定且可追溯</w:t>
            </w:r>
          </w:p>
        </w:tc>
      </w:tr>
      <w:tr>
        <w:trPr>
          <w:cantSplit/>
        </w:trPr>
        <w:tc>
          <w:tcPr>
            <w:tcW w:type="dxa" w:w="1842"/>
            <w:vAlign w:val="center"/>
            <w:tcMar>
              <w:top w:w="55" w:type="dxa"/>
              <w:bottom w:w="55" w:type="dxa"/>
              <w:left w:w="75" w:type="dxa"/>
              <w:right w:w="75" w:type="dxa"/>
            </w:tcMar>
            <w:shd w:fill="FFFFFF"/>
          </w:tcPr>
          <w:p>
            <w:pPr>
              <w:pStyle w:val="TableText"/>
            </w:pPr>
            <w:r>
              <w:t>M6：前瞻观察</w:t>
            </w:r>
          </w:p>
        </w:tc>
        <w:tc>
          <w:tcPr>
            <w:tcW w:type="dxa" w:w="2617"/>
            <w:vAlign w:val="center"/>
            <w:tcMar>
              <w:top w:w="55" w:type="dxa"/>
              <w:bottom w:w="55" w:type="dxa"/>
              <w:left w:w="75" w:type="dxa"/>
              <w:right w:w="75" w:type="dxa"/>
            </w:tcMar>
            <w:shd w:fill="FFFFFF"/>
          </w:tcPr>
          <w:p>
            <w:pPr>
              <w:pStyle w:val="TableText"/>
            </w:pPr>
            <w:r>
              <w:t>冻结候选、纸面运行、成本与失效监控</w:t>
            </w:r>
          </w:p>
        </w:tc>
        <w:tc>
          <w:tcPr>
            <w:tcW w:type="dxa" w:w="2423"/>
            <w:vAlign w:val="center"/>
            <w:tcMar>
              <w:top w:w="55" w:type="dxa"/>
              <w:bottom w:w="55" w:type="dxa"/>
              <w:left w:w="75" w:type="dxa"/>
              <w:right w:w="75" w:type="dxa"/>
            </w:tcMar>
            <w:shd w:fill="FFFFFF"/>
          </w:tcPr>
          <w:p>
            <w:pPr>
              <w:pStyle w:val="TableText"/>
            </w:pPr>
            <w:r>
              <w:t>时间戳化预测与执行偏差</w:t>
            </w:r>
          </w:p>
        </w:tc>
        <w:tc>
          <w:tcPr>
            <w:tcW w:type="dxa" w:w="2811"/>
            <w:vAlign w:val="center"/>
            <w:tcMar>
              <w:top w:w="55" w:type="dxa"/>
              <w:bottom w:w="55" w:type="dxa"/>
              <w:left w:w="75" w:type="dxa"/>
              <w:right w:w="75" w:type="dxa"/>
            </w:tcMar>
            <w:shd w:fill="FFFFFF"/>
          </w:tcPr>
          <w:p>
            <w:pPr>
              <w:pStyle w:val="TableText"/>
            </w:pPr>
            <w:r>
              <w:t>另行决定是否进入资金测试</w:t>
            </w:r>
          </w:p>
        </w:tc>
      </w:tr>
    </w:tbl>
    <w:p>
      <w:pPr>
        <w:spacing w:after="0" w:before="0" w:line="80" w:lineRule="exact"/>
      </w:pPr>
      <w:r>
        <w:rPr>
          <w:sz w:val="4"/>
        </w:rPr>
      </w:r>
    </w:p>
    <w:p>
      <w:r>
        <w:t>这些不是承诺全部完成的线性项目。阶段可以停止，也可以转向不使用 Kronos 的更简单方案。</w:t>
      </w:r>
    </w:p>
    <w:p>
      <w:pPr>
        <w:pStyle w:val="Heading2"/>
        <w:pageBreakBefore/>
      </w:pPr>
      <w:r>
        <w:t>16.2 首轮实验矩阵</w:t>
      </w:r>
    </w:p>
    <w:p>
      <w:r>
        <w:t>建议先锁一个主要任务，再运行下列最小实验。各实验共享币种池、预测时点和成本；下游头使用同等预算。只有上一组给出清楚结果，才扩展下一组。</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776"/>
        <w:gridCol w:w="2520"/>
        <w:gridCol w:w="2423"/>
        <w:gridCol w:w="3975"/>
      </w:tblGrid>
      <w:tr>
        <w:trPr>
          <w:cantSplit/>
          <w:tblHeader/>
        </w:trPr>
        <w:tc>
          <w:tcPr>
            <w:tcW w:type="dxa" w:w="776"/>
            <w:vAlign w:val="center"/>
            <w:tcMar>
              <w:top w:w="55" w:type="dxa"/>
              <w:bottom w:w="55" w:type="dxa"/>
              <w:left w:w="75" w:type="dxa"/>
              <w:right w:w="75" w:type="dxa"/>
            </w:tcMar>
            <w:shd w:fill="173444"/>
          </w:tcPr>
          <w:p>
            <w:pPr>
              <w:pStyle w:val="TableText"/>
              <w:keepNext/>
            </w:pPr>
            <w:r>
              <w:rPr>
                <w:b/>
                <w:color w:val="FFFFFF"/>
                <w:sz w:val="18"/>
              </w:rPr>
              <w:t>ID</w:t>
            </w:r>
          </w:p>
        </w:tc>
        <w:tc>
          <w:tcPr>
            <w:tcW w:type="dxa" w:w="2520"/>
            <w:vAlign w:val="center"/>
            <w:tcMar>
              <w:top w:w="55" w:type="dxa"/>
              <w:bottom w:w="55" w:type="dxa"/>
              <w:left w:w="75" w:type="dxa"/>
              <w:right w:w="75" w:type="dxa"/>
            </w:tcMar>
            <w:shd w:fill="173444"/>
          </w:tcPr>
          <w:p>
            <w:pPr>
              <w:pStyle w:val="TableText"/>
              <w:keepNext/>
            </w:pPr>
            <w:r>
              <w:rPr>
                <w:b/>
                <w:color w:val="FFFFFF"/>
                <w:sz w:val="18"/>
              </w:rPr>
              <w:t>实验</w:t>
            </w:r>
          </w:p>
        </w:tc>
        <w:tc>
          <w:tcPr>
            <w:tcW w:type="dxa" w:w="2423"/>
            <w:vAlign w:val="center"/>
            <w:tcMar>
              <w:top w:w="55" w:type="dxa"/>
              <w:bottom w:w="55" w:type="dxa"/>
              <w:left w:w="75" w:type="dxa"/>
              <w:right w:w="75" w:type="dxa"/>
            </w:tcMar>
            <w:shd w:fill="173444"/>
          </w:tcPr>
          <w:p>
            <w:pPr>
              <w:pStyle w:val="TableText"/>
              <w:keepNext/>
            </w:pPr>
            <w:r>
              <w:rPr>
                <w:b/>
                <w:color w:val="FFFFFF"/>
                <w:sz w:val="18"/>
              </w:rPr>
              <w:t>唯一主要变化</w:t>
            </w:r>
          </w:p>
        </w:tc>
        <w:tc>
          <w:tcPr>
            <w:tcW w:type="dxa" w:w="3975"/>
            <w:vAlign w:val="center"/>
            <w:tcMar>
              <w:top w:w="55" w:type="dxa"/>
              <w:bottom w:w="55" w:type="dxa"/>
              <w:left w:w="75" w:type="dxa"/>
              <w:right w:w="75" w:type="dxa"/>
            </w:tcMar>
            <w:shd w:fill="173444"/>
          </w:tcPr>
          <w:p>
            <w:pPr>
              <w:pStyle w:val="TableText"/>
              <w:keepNext/>
            </w:pPr>
            <w:r>
              <w:rPr>
                <w:b/>
                <w:color w:val="FFFFFF"/>
                <w:sz w:val="18"/>
              </w:rPr>
              <w:t>需要避免的误读</w:t>
            </w:r>
          </w:p>
        </w:tc>
      </w:tr>
      <w:tr>
        <w:trPr>
          <w:cantSplit/>
        </w:trPr>
        <w:tc>
          <w:tcPr>
            <w:tcW w:type="dxa" w:w="776"/>
            <w:vAlign w:val="center"/>
            <w:tcMar>
              <w:top w:w="55" w:type="dxa"/>
              <w:bottom w:w="55" w:type="dxa"/>
              <w:left w:w="75" w:type="dxa"/>
              <w:right w:w="75" w:type="dxa"/>
            </w:tcMar>
            <w:shd w:fill="FFFFFF"/>
          </w:tcPr>
          <w:p>
            <w:pPr>
              <w:pStyle w:val="TableText"/>
            </w:pPr>
            <w:r>
              <w:t>E00</w:t>
            </w:r>
          </w:p>
        </w:tc>
        <w:tc>
          <w:tcPr>
            <w:tcW w:type="dxa" w:w="2520"/>
            <w:vAlign w:val="center"/>
            <w:tcMar>
              <w:top w:w="55" w:type="dxa"/>
              <w:bottom w:w="55" w:type="dxa"/>
              <w:left w:w="75" w:type="dxa"/>
              <w:right w:w="75" w:type="dxa"/>
            </w:tcMar>
            <w:shd w:fill="FFFFFF"/>
          </w:tcPr>
          <w:p>
            <w:pPr>
              <w:pStyle w:val="TableText"/>
            </w:pPr>
            <w:r>
              <w:t>固定动量／普通特征基线</w:t>
            </w:r>
          </w:p>
        </w:tc>
        <w:tc>
          <w:tcPr>
            <w:tcW w:type="dxa" w:w="2423"/>
            <w:vAlign w:val="center"/>
            <w:tcMar>
              <w:top w:w="55" w:type="dxa"/>
              <w:bottom w:w="55" w:type="dxa"/>
              <w:left w:w="75" w:type="dxa"/>
              <w:right w:w="75" w:type="dxa"/>
            </w:tcMar>
            <w:shd w:fill="FFFFFF"/>
          </w:tcPr>
          <w:p>
            <w:pPr>
              <w:pStyle w:val="TableText"/>
            </w:pPr>
            <w:r>
              <w:t>无 Kronos</w:t>
            </w:r>
          </w:p>
        </w:tc>
        <w:tc>
          <w:tcPr>
            <w:tcW w:type="dxa" w:w="3975"/>
            <w:vAlign w:val="center"/>
            <w:tcMar>
              <w:top w:w="55" w:type="dxa"/>
              <w:bottom w:w="55" w:type="dxa"/>
              <w:left w:w="75" w:type="dxa"/>
              <w:right w:w="75" w:type="dxa"/>
            </w:tcMar>
            <w:shd w:fill="FFFFFF"/>
          </w:tcPr>
          <w:p>
            <w:pPr>
              <w:pStyle w:val="TableText"/>
            </w:pPr>
            <w:r>
              <w:t>不把市场上涨当模型收益</w:t>
            </w:r>
          </w:p>
        </w:tc>
      </w:tr>
      <w:tr>
        <w:trPr>
          <w:cantSplit/>
        </w:trPr>
        <w:tc>
          <w:tcPr>
            <w:tcW w:type="dxa" w:w="776"/>
            <w:vAlign w:val="center"/>
            <w:tcMar>
              <w:top w:w="55" w:type="dxa"/>
              <w:bottom w:w="55" w:type="dxa"/>
              <w:left w:w="75" w:type="dxa"/>
              <w:right w:w="75" w:type="dxa"/>
            </w:tcMar>
            <w:shd w:fill="F2F6F8"/>
          </w:tcPr>
          <w:p>
            <w:pPr>
              <w:pStyle w:val="TableText"/>
            </w:pPr>
            <w:r>
              <w:t>E01</w:t>
            </w:r>
          </w:p>
        </w:tc>
        <w:tc>
          <w:tcPr>
            <w:tcW w:type="dxa" w:w="2520"/>
            <w:vAlign w:val="center"/>
            <w:tcMar>
              <w:top w:w="55" w:type="dxa"/>
              <w:bottom w:w="55" w:type="dxa"/>
              <w:left w:w="75" w:type="dxa"/>
              <w:right w:w="75" w:type="dxa"/>
            </w:tcMar>
            <w:shd w:fill="F2F6F8"/>
          </w:tcPr>
          <w:p>
            <w:pPr>
              <w:pStyle w:val="TableText"/>
            </w:pPr>
            <w:r>
              <w:t>基线 + 冻结 Kronos</w:t>
            </w:r>
          </w:p>
        </w:tc>
        <w:tc>
          <w:tcPr>
            <w:tcW w:type="dxa" w:w="2423"/>
            <w:vAlign w:val="center"/>
            <w:tcMar>
              <w:top w:w="55" w:type="dxa"/>
              <w:bottom w:w="55" w:type="dxa"/>
              <w:left w:w="75" w:type="dxa"/>
              <w:right w:w="75" w:type="dxa"/>
            </w:tcMar>
            <w:shd w:fill="F2F6F8"/>
          </w:tcPr>
          <w:p>
            <w:pPr>
              <w:pStyle w:val="TableText"/>
            </w:pPr>
            <w:r>
              <w:t>加预训练表征</w:t>
            </w:r>
          </w:p>
        </w:tc>
        <w:tc>
          <w:tcPr>
            <w:tcW w:type="dxa" w:w="3975"/>
            <w:vAlign w:val="center"/>
            <w:tcMar>
              <w:top w:w="55" w:type="dxa"/>
              <w:bottom w:w="55" w:type="dxa"/>
              <w:left w:w="75" w:type="dxa"/>
              <w:right w:w="75" w:type="dxa"/>
            </w:tcMar>
            <w:shd w:fill="F2F6F8"/>
          </w:tcPr>
          <w:p>
            <w:pPr>
              <w:pStyle w:val="TableText"/>
            </w:pPr>
            <w:r>
              <w:t>不同时增加大预测头</w:t>
            </w:r>
          </w:p>
        </w:tc>
      </w:tr>
      <w:tr>
        <w:trPr>
          <w:cantSplit/>
        </w:trPr>
        <w:tc>
          <w:tcPr>
            <w:tcW w:type="dxa" w:w="776"/>
            <w:vAlign w:val="center"/>
            <w:tcMar>
              <w:top w:w="55" w:type="dxa"/>
              <w:bottom w:w="55" w:type="dxa"/>
              <w:left w:w="75" w:type="dxa"/>
              <w:right w:w="75" w:type="dxa"/>
            </w:tcMar>
            <w:shd w:fill="FFFFFF"/>
          </w:tcPr>
          <w:p>
            <w:pPr>
              <w:pStyle w:val="TableText"/>
            </w:pPr>
            <w:r>
              <w:t>E02</w:t>
            </w:r>
          </w:p>
        </w:tc>
        <w:tc>
          <w:tcPr>
            <w:tcW w:type="dxa" w:w="2520"/>
            <w:vAlign w:val="center"/>
            <w:tcMar>
              <w:top w:w="55" w:type="dxa"/>
              <w:bottom w:w="55" w:type="dxa"/>
              <w:left w:w="75" w:type="dxa"/>
              <w:right w:w="75" w:type="dxa"/>
            </w:tcMar>
            <w:shd w:fill="FFFFFF"/>
          </w:tcPr>
          <w:p>
            <w:pPr>
              <w:pStyle w:val="TableText"/>
            </w:pPr>
            <w:r>
              <w:t>基线 + 随机冻结骨干</w:t>
            </w:r>
          </w:p>
        </w:tc>
        <w:tc>
          <w:tcPr>
            <w:tcW w:type="dxa" w:w="2423"/>
            <w:vAlign w:val="center"/>
            <w:tcMar>
              <w:top w:w="55" w:type="dxa"/>
              <w:bottom w:w="55" w:type="dxa"/>
              <w:left w:w="75" w:type="dxa"/>
              <w:right w:w="75" w:type="dxa"/>
            </w:tcMar>
            <w:shd w:fill="FFFFFF"/>
          </w:tcPr>
          <w:p>
            <w:pPr>
              <w:pStyle w:val="TableText"/>
            </w:pPr>
            <w:r>
              <w:t>移除主干预训练</w:t>
            </w:r>
          </w:p>
        </w:tc>
        <w:tc>
          <w:tcPr>
            <w:tcW w:type="dxa" w:w="3975"/>
            <w:vAlign w:val="center"/>
            <w:tcMar>
              <w:top w:w="55" w:type="dxa"/>
              <w:bottom w:w="55" w:type="dxa"/>
              <w:left w:w="75" w:type="dxa"/>
              <w:right w:w="75" w:type="dxa"/>
            </w:tcMar>
            <w:shd w:fill="FFFFFF"/>
          </w:tcPr>
          <w:p>
            <w:pPr>
              <w:pStyle w:val="TableText"/>
            </w:pPr>
            <w:r>
              <w:t>tokenizer 仍可能已预训练</w:t>
            </w:r>
          </w:p>
        </w:tc>
      </w:tr>
      <w:tr>
        <w:trPr>
          <w:cantSplit/>
        </w:trPr>
        <w:tc>
          <w:tcPr>
            <w:tcW w:type="dxa" w:w="776"/>
            <w:vAlign w:val="center"/>
            <w:tcMar>
              <w:top w:w="55" w:type="dxa"/>
              <w:bottom w:w="55" w:type="dxa"/>
              <w:left w:w="75" w:type="dxa"/>
              <w:right w:w="75" w:type="dxa"/>
            </w:tcMar>
            <w:shd w:fill="F2F6F8"/>
          </w:tcPr>
          <w:p>
            <w:pPr>
              <w:pStyle w:val="TableText"/>
            </w:pPr>
            <w:r>
              <w:t>E03</w:t>
            </w:r>
          </w:p>
        </w:tc>
        <w:tc>
          <w:tcPr>
            <w:tcW w:type="dxa" w:w="2520"/>
            <w:vAlign w:val="center"/>
            <w:tcMar>
              <w:top w:w="55" w:type="dxa"/>
              <w:bottom w:w="55" w:type="dxa"/>
              <w:left w:w="75" w:type="dxa"/>
              <w:right w:w="75" w:type="dxa"/>
            </w:tcMar>
            <w:shd w:fill="F2F6F8"/>
          </w:tcPr>
          <w:p>
            <w:pPr>
              <w:pStyle w:val="TableText"/>
            </w:pPr>
            <w:r>
              <w:t>量化前／后探针</w:t>
            </w:r>
          </w:p>
        </w:tc>
        <w:tc>
          <w:tcPr>
            <w:tcW w:type="dxa" w:w="2423"/>
            <w:vAlign w:val="center"/>
            <w:tcMar>
              <w:top w:w="55" w:type="dxa"/>
              <w:bottom w:w="55" w:type="dxa"/>
              <w:left w:w="75" w:type="dxa"/>
              <w:right w:w="75" w:type="dxa"/>
            </w:tcMar>
            <w:shd w:fill="F2F6F8"/>
          </w:tcPr>
          <w:p>
            <w:pPr>
              <w:pStyle w:val="TableText"/>
            </w:pPr>
            <w:r>
              <w:t>表征阶段不同</w:t>
            </w:r>
          </w:p>
        </w:tc>
        <w:tc>
          <w:tcPr>
            <w:tcW w:type="dxa" w:w="3975"/>
            <w:vAlign w:val="center"/>
            <w:tcMar>
              <w:top w:w="55" w:type="dxa"/>
              <w:bottom w:w="55" w:type="dxa"/>
              <w:left w:w="75" w:type="dxa"/>
              <w:right w:w="75" w:type="dxa"/>
            </w:tcMar>
            <w:shd w:fill="F2F6F8"/>
          </w:tcPr>
          <w:p>
            <w:pPr>
              <w:pStyle w:val="TableText"/>
            </w:pPr>
            <w:r>
              <w:t>控制维度与正则化预算</w:t>
            </w:r>
          </w:p>
        </w:tc>
      </w:tr>
      <w:tr>
        <w:trPr>
          <w:cantSplit/>
        </w:trPr>
        <w:tc>
          <w:tcPr>
            <w:tcW w:type="dxa" w:w="776"/>
            <w:vAlign w:val="center"/>
            <w:tcMar>
              <w:top w:w="55" w:type="dxa"/>
              <w:bottom w:w="55" w:type="dxa"/>
              <w:left w:w="75" w:type="dxa"/>
              <w:right w:w="75" w:type="dxa"/>
            </w:tcMar>
            <w:shd w:fill="FFFFFF"/>
          </w:tcPr>
          <w:p>
            <w:pPr>
              <w:pStyle w:val="TableText"/>
            </w:pPr>
            <w:r>
              <w:t>E04</w:t>
            </w:r>
          </w:p>
        </w:tc>
        <w:tc>
          <w:tcPr>
            <w:tcW w:type="dxa" w:w="2520"/>
            <w:vAlign w:val="center"/>
            <w:tcMar>
              <w:top w:w="55" w:type="dxa"/>
              <w:bottom w:w="55" w:type="dxa"/>
              <w:left w:w="75" w:type="dxa"/>
              <w:right w:w="75" w:type="dxa"/>
            </w:tcMar>
            <w:shd w:fill="FFFFFF"/>
          </w:tcPr>
          <w:p>
            <w:pPr>
              <w:pStyle w:val="TableText"/>
            </w:pPr>
            <w:r>
              <w:t>固定动量 + 参与头</w:t>
            </w:r>
          </w:p>
        </w:tc>
        <w:tc>
          <w:tcPr>
            <w:tcW w:type="dxa" w:w="2423"/>
            <w:vAlign w:val="center"/>
            <w:tcMar>
              <w:top w:w="55" w:type="dxa"/>
              <w:bottom w:w="55" w:type="dxa"/>
              <w:left w:w="75" w:type="dxa"/>
              <w:right w:w="75" w:type="dxa"/>
            </w:tcMar>
            <w:shd w:fill="FFFFFF"/>
          </w:tcPr>
          <w:p>
            <w:pPr>
              <w:pStyle w:val="TableText"/>
            </w:pPr>
            <w:r>
              <w:t>改为策略参与任务</w:t>
            </w:r>
          </w:p>
        </w:tc>
        <w:tc>
          <w:tcPr>
            <w:tcW w:type="dxa" w:w="3975"/>
            <w:vAlign w:val="center"/>
            <w:tcMar>
              <w:top w:w="55" w:type="dxa"/>
              <w:bottom w:w="55" w:type="dxa"/>
              <w:left w:w="75" w:type="dxa"/>
              <w:right w:w="75" w:type="dxa"/>
            </w:tcMar>
            <w:shd w:fill="FFFFFF"/>
          </w:tcPr>
          <w:p>
            <w:pPr>
              <w:pStyle w:val="TableText"/>
            </w:pPr>
            <w:r>
              <w:t>与常数缩仓／波动目标比较</w:t>
            </w:r>
          </w:p>
        </w:tc>
      </w:tr>
      <w:tr>
        <w:trPr>
          <w:cantSplit/>
        </w:trPr>
        <w:tc>
          <w:tcPr>
            <w:tcW w:type="dxa" w:w="776"/>
            <w:vAlign w:val="center"/>
            <w:tcMar>
              <w:top w:w="55" w:type="dxa"/>
              <w:bottom w:w="55" w:type="dxa"/>
              <w:left w:w="75" w:type="dxa"/>
              <w:right w:w="75" w:type="dxa"/>
            </w:tcMar>
            <w:shd w:fill="F2F6F8"/>
          </w:tcPr>
          <w:p>
            <w:pPr>
              <w:pStyle w:val="TableText"/>
            </w:pPr>
            <w:r>
              <w:t>E05</w:t>
            </w:r>
          </w:p>
        </w:tc>
        <w:tc>
          <w:tcPr>
            <w:tcW w:type="dxa" w:w="2520"/>
            <w:vAlign w:val="center"/>
            <w:tcMar>
              <w:top w:w="55" w:type="dxa"/>
              <w:bottom w:w="55" w:type="dxa"/>
              <w:left w:w="75" w:type="dxa"/>
              <w:right w:w="75" w:type="dxa"/>
            </w:tcMar>
            <w:shd w:fill="F2F6F8"/>
          </w:tcPr>
          <w:p>
            <w:pPr>
              <w:pStyle w:val="TableText"/>
            </w:pPr>
            <w:r>
              <w:t>外部状态四格消融</w:t>
            </w:r>
          </w:p>
        </w:tc>
        <w:tc>
          <w:tcPr>
            <w:tcW w:type="dxa" w:w="2423"/>
            <w:vAlign w:val="center"/>
            <w:tcMar>
              <w:top w:w="55" w:type="dxa"/>
              <w:bottom w:w="55" w:type="dxa"/>
              <w:left w:w="75" w:type="dxa"/>
              <w:right w:w="75" w:type="dxa"/>
            </w:tcMar>
            <w:shd w:fill="F2F6F8"/>
          </w:tcPr>
          <w:p>
            <w:pPr>
              <w:pStyle w:val="TableText"/>
            </w:pPr>
            <w:r>
              <w:t>只改变信息源</w:t>
            </w:r>
          </w:p>
        </w:tc>
        <w:tc>
          <w:tcPr>
            <w:tcW w:type="dxa" w:w="3975"/>
            <w:vAlign w:val="center"/>
            <w:tcMar>
              <w:top w:w="55" w:type="dxa"/>
              <w:bottom w:w="55" w:type="dxa"/>
              <w:left w:w="75" w:type="dxa"/>
              <w:right w:w="75" w:type="dxa"/>
            </w:tcMar>
            <w:shd w:fill="F2F6F8"/>
          </w:tcPr>
          <w:p>
            <w:pPr>
              <w:pStyle w:val="TableText"/>
            </w:pPr>
            <w:r>
              <w:t>统一共同历史覆盖</w:t>
            </w:r>
          </w:p>
        </w:tc>
      </w:tr>
      <w:tr>
        <w:trPr>
          <w:cantSplit/>
        </w:trPr>
        <w:tc>
          <w:tcPr>
            <w:tcW w:type="dxa" w:w="776"/>
            <w:vAlign w:val="center"/>
            <w:tcMar>
              <w:top w:w="55" w:type="dxa"/>
              <w:bottom w:w="55" w:type="dxa"/>
              <w:left w:w="75" w:type="dxa"/>
              <w:right w:w="75" w:type="dxa"/>
            </w:tcMar>
            <w:shd w:fill="FFFFFF"/>
          </w:tcPr>
          <w:p>
            <w:pPr>
              <w:pStyle w:val="TableText"/>
            </w:pPr>
            <w:r>
              <w:t>E06</w:t>
            </w:r>
          </w:p>
        </w:tc>
        <w:tc>
          <w:tcPr>
            <w:tcW w:type="dxa" w:w="2520"/>
            <w:vAlign w:val="center"/>
            <w:tcMar>
              <w:top w:w="55" w:type="dxa"/>
              <w:bottom w:w="55" w:type="dxa"/>
              <w:left w:w="75" w:type="dxa"/>
              <w:right w:w="75" w:type="dxa"/>
            </w:tcMar>
            <w:shd w:fill="FFFFFF"/>
          </w:tcPr>
          <w:p>
            <w:pPr>
              <w:pStyle w:val="TableText"/>
            </w:pPr>
            <w:r>
              <w:t>crypto 继续训练</w:t>
            </w:r>
          </w:p>
        </w:tc>
        <w:tc>
          <w:tcPr>
            <w:tcW w:type="dxa" w:w="2423"/>
            <w:vAlign w:val="center"/>
            <w:tcMar>
              <w:top w:w="55" w:type="dxa"/>
              <w:bottom w:w="55" w:type="dxa"/>
              <w:left w:w="75" w:type="dxa"/>
              <w:right w:w="75" w:type="dxa"/>
            </w:tcMar>
            <w:shd w:fill="FFFFFF"/>
          </w:tcPr>
          <w:p>
            <w:pPr>
              <w:pStyle w:val="TableText"/>
            </w:pPr>
            <w:r>
              <w:t>骨干训练分布</w:t>
            </w:r>
          </w:p>
        </w:tc>
        <w:tc>
          <w:tcPr>
            <w:tcW w:type="dxa" w:w="3975"/>
            <w:vAlign w:val="center"/>
            <w:tcMar>
              <w:top w:w="55" w:type="dxa"/>
              <w:bottom w:w="55" w:type="dxa"/>
              <w:left w:w="75" w:type="dxa"/>
              <w:right w:w="75" w:type="dxa"/>
            </w:tcMar>
            <w:shd w:fill="FFFFFF"/>
          </w:tcPr>
          <w:p>
            <w:pPr>
              <w:pStyle w:val="TableText"/>
            </w:pPr>
            <w:r>
              <w:t>下游头与目标不变</w:t>
            </w:r>
          </w:p>
        </w:tc>
      </w:tr>
      <w:tr>
        <w:trPr>
          <w:cantSplit/>
        </w:trPr>
        <w:tc>
          <w:tcPr>
            <w:tcW w:type="dxa" w:w="776"/>
            <w:vAlign w:val="center"/>
            <w:tcMar>
              <w:top w:w="55" w:type="dxa"/>
              <w:bottom w:w="55" w:type="dxa"/>
              <w:left w:w="75" w:type="dxa"/>
              <w:right w:w="75" w:type="dxa"/>
            </w:tcMar>
            <w:shd w:fill="F2F6F8"/>
          </w:tcPr>
          <w:p>
            <w:pPr>
              <w:pStyle w:val="TableText"/>
            </w:pPr>
            <w:r>
              <w:t>E07</w:t>
            </w:r>
          </w:p>
        </w:tc>
        <w:tc>
          <w:tcPr>
            <w:tcW w:type="dxa" w:w="2520"/>
            <w:vAlign w:val="center"/>
            <w:tcMar>
              <w:top w:w="55" w:type="dxa"/>
              <w:bottom w:w="55" w:type="dxa"/>
              <w:left w:w="75" w:type="dxa"/>
              <w:right w:w="75" w:type="dxa"/>
            </w:tcMar>
            <w:shd w:fill="F2F6F8"/>
          </w:tcPr>
          <w:p>
            <w:pPr>
              <w:pStyle w:val="TableText"/>
            </w:pPr>
            <w:r>
              <w:t>温和活跃度加权</w:t>
            </w:r>
          </w:p>
        </w:tc>
        <w:tc>
          <w:tcPr>
            <w:tcW w:type="dxa" w:w="2423"/>
            <w:vAlign w:val="center"/>
            <w:tcMar>
              <w:top w:w="55" w:type="dxa"/>
              <w:bottom w:w="55" w:type="dxa"/>
              <w:left w:w="75" w:type="dxa"/>
              <w:right w:w="75" w:type="dxa"/>
            </w:tcMar>
            <w:shd w:fill="F2F6F8"/>
          </w:tcPr>
          <w:p>
            <w:pPr>
              <w:pStyle w:val="TableText"/>
            </w:pPr>
            <w:r>
              <w:t>样本权重</w:t>
            </w:r>
          </w:p>
        </w:tc>
        <w:tc>
          <w:tcPr>
            <w:tcW w:type="dxa" w:w="3975"/>
            <w:vAlign w:val="center"/>
            <w:tcMar>
              <w:top w:w="55" w:type="dxa"/>
              <w:bottom w:w="55" w:type="dxa"/>
              <w:left w:w="75" w:type="dxa"/>
              <w:right w:w="75" w:type="dxa"/>
            </w:tcMar>
            <w:shd w:fill="F2F6F8"/>
          </w:tcPr>
          <w:p>
            <w:pPr>
              <w:pStyle w:val="TableText"/>
            </w:pPr>
            <w:r>
              <w:t>仍在原交易时钟验收</w:t>
            </w:r>
          </w:p>
        </w:tc>
      </w:tr>
    </w:tbl>
    <w:p>
      <w:pPr>
        <w:spacing w:after="0" w:before="0" w:line="80" w:lineRule="exact"/>
      </w:pPr>
      <w:r>
        <w:rPr>
          <w:sz w:val="4"/>
        </w:rPr>
      </w:r>
    </w:p>
    <w:p>
      <w:r>
        <w:t>风险预测和横截面排序可以替代 E04 成为主任务，不建议第一轮同时把所有标签都作为“总会有一个成功”的搜索空间。</w:t>
      </w:r>
    </w:p>
    <w:p>
      <w:pPr>
        <w:pStyle w:val="Heading2"/>
      </w:pPr>
      <w:r>
        <w:t>16.3 停止规则应该如何写</w:t>
      </w:r>
    </w:p>
    <w:p>
      <w:r>
        <w:rPr>
          <w:b/>
        </w:rPr>
        <w:t>表征路线停止：</w:t>
      </w:r>
      <w:r>
        <w:t xml:space="preserve"> 在预定读出器、有限解冻和合理样本范围内，Kronos 相对普通特征没有稳定增量；不再以无限增大模型来解释失败。</w:t>
      </w:r>
    </w:p>
    <w:p>
      <w:r>
        <w:rPr>
          <w:b/>
        </w:rPr>
        <w:t>继续训练停止：</w:t>
      </w:r>
      <w:r>
        <w:t xml:space="preserve"> token loss 改善未转化为主要任务改善，或增益无法跨折保持；回到任务定义，而不是继续无上限追加语料。</w:t>
      </w:r>
    </w:p>
    <w:p>
      <w:r>
        <w:rPr>
          <w:b/>
        </w:rPr>
        <w:t>数据分支停止：</w:t>
      </w:r>
      <w:r>
        <w:t xml:space="preserve"> 增益来自字段时间错配、过短历史或事后修订；不能用更复杂模型补救不可追溯数据。</w:t>
      </w:r>
    </w:p>
    <w:p>
      <w:r>
        <w:rPr>
          <w:b/>
        </w:rPr>
        <w:t>复杂架构停止：</w:t>
      </w:r>
      <w:r>
        <w:t xml:space="preserve"> 事件时间、重 tokenizer 或符号搜索的收益可被简单活动度特征、风险缩放或已有状态数据解释；优先保留简单版本。</w:t>
      </w:r>
    </w:p>
    <w:p>
      <w:r>
        <w:rPr>
          <w:b/>
        </w:rPr>
        <w:t>证据不足时：</w:t>
      </w:r>
      <w:r>
        <w:t xml:space="preserve"> 明确记录结论和最有价值的下一批数据。样本不足不是研究失败，但不允许升级为实盘有效性声明。</w:t>
      </w:r>
    </w:p>
    <w:p>
      <w:pPr>
        <w:pStyle w:val="Heading2"/>
      </w:pPr>
      <w:r>
        <w:t>16.4 最终建议</w:t>
      </w:r>
    </w:p>
    <w:p>
      <w:r>
        <w:t>第一版只回答一个问题：在可执行的固定时间任务上，Kronos-small 的历史表示是否比普通特征提供稳定增量。若有，优先转成动量参与、风险或排序头；若没有，先检查数据和目标，再决定是否值得适配预训练。</w:t>
      </w:r>
    </w:p>
    <w:p>
      <w:r>
        <w:t>完整神经—符号系统应当建立在这些证据之上，而不是用它绕过证据。最值得保留的研究成果，可能是改进后的 Kronos，也可能是一套揭示“Kronos 在此任务上并不必要”的可靠实验系统。</w:t>
      </w:r>
    </w:p>
    <w:p>
      <w:pPr>
        <w:pStyle w:val="Heading1"/>
      </w:pPr>
      <w:bookmarkStart w:id="18" w:name="sec17"/>
      <w:r>
        <w:t>附录 A 接口、配置与审计模板</w:t>
      </w:r>
      <w:bookmarkEnd w:id="18"/>
    </w:p>
    <w:p>
      <w:pPr>
        <w:pStyle w:val="Heading2"/>
      </w:pPr>
      <w:r>
        <w:t>A.1 样本与预测记录契约</w:t>
      </w:r>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1454"/>
        <w:gridCol w:w="4750"/>
        <w:gridCol w:w="3490"/>
      </w:tblGrid>
      <w:tr>
        <w:trPr>
          <w:cantSplit/>
          <w:tblHeader/>
        </w:trPr>
        <w:tc>
          <w:tcPr>
            <w:tcW w:type="dxa" w:w="1454"/>
            <w:vAlign w:val="center"/>
            <w:tcMar>
              <w:top w:w="55" w:type="dxa"/>
              <w:bottom w:w="55" w:type="dxa"/>
              <w:left w:w="75" w:type="dxa"/>
              <w:right w:w="75" w:type="dxa"/>
            </w:tcMar>
            <w:shd w:fill="173444"/>
          </w:tcPr>
          <w:p>
            <w:pPr>
              <w:pStyle w:val="TableText"/>
              <w:keepNext/>
            </w:pPr>
            <w:r>
              <w:rPr>
                <w:b/>
                <w:color w:val="FFFFFF"/>
                <w:sz w:val="18"/>
              </w:rPr>
              <w:t>字段组</w:t>
            </w:r>
          </w:p>
        </w:tc>
        <w:tc>
          <w:tcPr>
            <w:tcW w:type="dxa" w:w="4750"/>
            <w:vAlign w:val="center"/>
            <w:tcMar>
              <w:top w:w="55" w:type="dxa"/>
              <w:bottom w:w="55" w:type="dxa"/>
              <w:left w:w="75" w:type="dxa"/>
              <w:right w:w="75" w:type="dxa"/>
            </w:tcMar>
            <w:shd w:fill="173444"/>
          </w:tcPr>
          <w:p>
            <w:pPr>
              <w:pStyle w:val="TableText"/>
              <w:keepNext/>
            </w:pPr>
            <w:r>
              <w:rPr>
                <w:b/>
                <w:color w:val="FFFFFF"/>
                <w:sz w:val="18"/>
              </w:rPr>
              <w:t>建议字段</w:t>
            </w:r>
          </w:p>
        </w:tc>
        <w:tc>
          <w:tcPr>
            <w:tcW w:type="dxa" w:w="3490"/>
            <w:vAlign w:val="center"/>
            <w:tcMar>
              <w:top w:w="55" w:type="dxa"/>
              <w:bottom w:w="55" w:type="dxa"/>
              <w:left w:w="75" w:type="dxa"/>
              <w:right w:w="75" w:type="dxa"/>
            </w:tcMar>
            <w:shd w:fill="173444"/>
          </w:tcPr>
          <w:p>
            <w:pPr>
              <w:pStyle w:val="TableText"/>
              <w:keepNext/>
            </w:pPr>
            <w:r>
              <w:rPr>
                <w:b/>
                <w:color w:val="FFFFFF"/>
                <w:sz w:val="18"/>
              </w:rPr>
              <w:t>必须满足的关系</w:t>
            </w:r>
          </w:p>
        </w:tc>
      </w:tr>
      <w:tr>
        <w:trPr>
          <w:cantSplit/>
        </w:trPr>
        <w:tc>
          <w:tcPr>
            <w:tcW w:type="dxa" w:w="1454"/>
            <w:vAlign w:val="center"/>
            <w:tcMar>
              <w:top w:w="55" w:type="dxa"/>
              <w:bottom w:w="55" w:type="dxa"/>
              <w:left w:w="75" w:type="dxa"/>
              <w:right w:w="75" w:type="dxa"/>
            </w:tcMar>
            <w:shd w:fill="FFFFFF"/>
          </w:tcPr>
          <w:p>
            <w:pPr>
              <w:pStyle w:val="TableText"/>
            </w:pPr>
            <w:r>
              <w:t>身份</w:t>
            </w:r>
          </w:p>
        </w:tc>
        <w:tc>
          <w:tcPr>
            <w:tcW w:type="dxa" w:w="4750"/>
            <w:vAlign w:val="center"/>
            <w:tcMar>
              <w:top w:w="55" w:type="dxa"/>
              <w:bottom w:w="55" w:type="dxa"/>
              <w:left w:w="75" w:type="dxa"/>
              <w:right w:w="75" w:type="dxa"/>
            </w:tcMar>
            <w:shd w:fill="FFFFFF"/>
          </w:tcPr>
          <w:p>
            <w:pPr>
              <w:pStyle w:val="TableText"/>
            </w:pPr>
            <w:r>
              <w:t>venue、instrument、product、timeframe</w:t>
            </w:r>
          </w:p>
        </w:tc>
        <w:tc>
          <w:tcPr>
            <w:tcW w:type="dxa" w:w="3490"/>
            <w:vAlign w:val="center"/>
            <w:tcMar>
              <w:top w:w="55" w:type="dxa"/>
              <w:bottom w:w="55" w:type="dxa"/>
              <w:left w:w="75" w:type="dxa"/>
              <w:right w:w="75" w:type="dxa"/>
            </w:tcMar>
            <w:shd w:fill="FFFFFF"/>
          </w:tcPr>
          <w:p>
            <w:pPr>
              <w:pStyle w:val="TableText"/>
            </w:pPr>
            <w:r>
              <w:t>标的与产品语义稳定</w:t>
            </w:r>
          </w:p>
        </w:tc>
      </w:tr>
      <w:tr>
        <w:trPr>
          <w:cantSplit/>
        </w:trPr>
        <w:tc>
          <w:tcPr>
            <w:tcW w:type="dxa" w:w="1454"/>
            <w:vAlign w:val="center"/>
            <w:tcMar>
              <w:top w:w="55" w:type="dxa"/>
              <w:bottom w:w="55" w:type="dxa"/>
              <w:left w:w="75" w:type="dxa"/>
              <w:right w:w="75" w:type="dxa"/>
            </w:tcMar>
            <w:shd w:fill="F2F6F8"/>
          </w:tcPr>
          <w:p>
            <w:pPr>
              <w:pStyle w:val="TableText"/>
            </w:pPr>
            <w:r>
              <w:t>时间</w:t>
            </w:r>
          </w:p>
        </w:tc>
        <w:tc>
          <w:tcPr>
            <w:tcW w:type="dxa" w:w="4750"/>
            <w:vAlign w:val="center"/>
            <w:tcMar>
              <w:top w:w="55" w:type="dxa"/>
              <w:bottom w:w="55" w:type="dxa"/>
              <w:left w:w="75" w:type="dxa"/>
              <w:right w:w="75" w:type="dxa"/>
            </w:tcMar>
            <w:shd w:fill="F2F6F8"/>
          </w:tcPr>
          <w:p>
            <w:pPr>
              <w:pStyle w:val="TableText"/>
            </w:pPr>
            <w:r>
              <w:t>bar_open_at、bar_close_at、available_at、decision_at</w:t>
            </w:r>
          </w:p>
        </w:tc>
        <w:tc>
          <w:tcPr>
            <w:tcW w:type="dxa" w:w="3490"/>
            <w:vAlign w:val="center"/>
            <w:tcMar>
              <w:top w:w="55" w:type="dxa"/>
              <w:bottom w:w="55" w:type="dxa"/>
              <w:left w:w="75" w:type="dxa"/>
              <w:right w:w="75" w:type="dxa"/>
            </w:tcMar>
            <w:shd w:fill="F2F6F8"/>
          </w:tcPr>
          <w:p>
            <w:pPr>
              <w:pStyle w:val="TableText"/>
            </w:pPr>
            <w:r>
              <w:t>完成和可用均不晚于决策</w:t>
            </w:r>
          </w:p>
        </w:tc>
      </w:tr>
      <w:tr>
        <w:trPr>
          <w:cantSplit/>
        </w:trPr>
        <w:tc>
          <w:tcPr>
            <w:tcW w:type="dxa" w:w="1454"/>
            <w:vAlign w:val="center"/>
            <w:tcMar>
              <w:top w:w="55" w:type="dxa"/>
              <w:bottom w:w="55" w:type="dxa"/>
              <w:left w:w="75" w:type="dxa"/>
              <w:right w:w="75" w:type="dxa"/>
            </w:tcMar>
            <w:shd w:fill="FFFFFF"/>
          </w:tcPr>
          <w:p>
            <w:pPr>
              <w:pStyle w:val="TableText"/>
            </w:pPr>
            <w:r>
              <w:t>输入来源</w:t>
            </w:r>
          </w:p>
        </w:tc>
        <w:tc>
          <w:tcPr>
            <w:tcW w:type="dxa" w:w="4750"/>
            <w:vAlign w:val="center"/>
            <w:tcMar>
              <w:top w:w="55" w:type="dxa"/>
              <w:bottom w:w="55" w:type="dxa"/>
              <w:left w:w="75" w:type="dxa"/>
              <w:right w:w="75" w:type="dxa"/>
            </w:tcMar>
            <w:shd w:fill="FFFFFF"/>
          </w:tcPr>
          <w:p>
            <w:pPr>
              <w:pStyle w:val="TableText"/>
            </w:pPr>
            <w:r>
              <w:t>snapshot_id、schema_version、feature_version</w:t>
            </w:r>
          </w:p>
        </w:tc>
        <w:tc>
          <w:tcPr>
            <w:tcW w:type="dxa" w:w="3490"/>
            <w:vAlign w:val="center"/>
            <w:tcMar>
              <w:top w:w="55" w:type="dxa"/>
              <w:bottom w:w="55" w:type="dxa"/>
              <w:left w:w="75" w:type="dxa"/>
              <w:right w:w="75" w:type="dxa"/>
            </w:tcMar>
            <w:shd w:fill="FFFFFF"/>
          </w:tcPr>
          <w:p>
            <w:pPr>
              <w:pStyle w:val="TableText"/>
            </w:pPr>
            <w:r>
              <w:t>可追溯原始与变换版本</w:t>
            </w:r>
          </w:p>
        </w:tc>
      </w:tr>
      <w:tr>
        <w:trPr>
          <w:cantSplit/>
        </w:trPr>
        <w:tc>
          <w:tcPr>
            <w:tcW w:type="dxa" w:w="1454"/>
            <w:vAlign w:val="center"/>
            <w:tcMar>
              <w:top w:w="55" w:type="dxa"/>
              <w:bottom w:w="55" w:type="dxa"/>
              <w:left w:w="75" w:type="dxa"/>
              <w:right w:w="75" w:type="dxa"/>
            </w:tcMar>
            <w:shd w:fill="F2F6F8"/>
          </w:tcPr>
          <w:p>
            <w:pPr>
              <w:pStyle w:val="TableText"/>
            </w:pPr>
            <w:r>
              <w:t>模型来源</w:t>
            </w:r>
          </w:p>
        </w:tc>
        <w:tc>
          <w:tcPr>
            <w:tcW w:type="dxa" w:w="4750"/>
            <w:vAlign w:val="center"/>
            <w:tcMar>
              <w:top w:w="55" w:type="dxa"/>
              <w:bottom w:w="55" w:type="dxa"/>
              <w:left w:w="75" w:type="dxa"/>
              <w:right w:w="75" w:type="dxa"/>
            </w:tcMar>
            <w:shd w:fill="F2F6F8"/>
          </w:tcPr>
          <w:p>
            <w:pPr>
              <w:pStyle w:val="TableText"/>
            </w:pPr>
            <w:r>
              <w:t>tokenizer_revision、model_revision、head_id、calibrator_id</w:t>
            </w:r>
          </w:p>
        </w:tc>
        <w:tc>
          <w:tcPr>
            <w:tcW w:type="dxa" w:w="3490"/>
            <w:vAlign w:val="center"/>
            <w:tcMar>
              <w:top w:w="55" w:type="dxa"/>
              <w:bottom w:w="55" w:type="dxa"/>
              <w:left w:w="75" w:type="dxa"/>
              <w:right w:w="75" w:type="dxa"/>
            </w:tcMar>
            <w:shd w:fill="F2F6F8"/>
          </w:tcPr>
          <w:p>
            <w:pPr>
              <w:pStyle w:val="TableText"/>
            </w:pPr>
            <w:r>
              <w:t>指向不可变工件</w:t>
            </w:r>
          </w:p>
        </w:tc>
      </w:tr>
      <w:tr>
        <w:trPr>
          <w:cantSplit/>
        </w:trPr>
        <w:tc>
          <w:tcPr>
            <w:tcW w:type="dxa" w:w="1454"/>
            <w:vAlign w:val="center"/>
            <w:tcMar>
              <w:top w:w="55" w:type="dxa"/>
              <w:bottom w:w="55" w:type="dxa"/>
              <w:left w:w="75" w:type="dxa"/>
              <w:right w:w="75" w:type="dxa"/>
            </w:tcMar>
            <w:shd w:fill="FFFFFF"/>
          </w:tcPr>
          <w:p>
            <w:pPr>
              <w:pStyle w:val="TableText"/>
            </w:pPr>
            <w:r>
              <w:t>训练边界</w:t>
            </w:r>
          </w:p>
        </w:tc>
        <w:tc>
          <w:tcPr>
            <w:tcW w:type="dxa" w:w="4750"/>
            <w:vAlign w:val="center"/>
            <w:tcMar>
              <w:top w:w="55" w:type="dxa"/>
              <w:bottom w:w="55" w:type="dxa"/>
              <w:left w:w="75" w:type="dxa"/>
              <w:right w:w="75" w:type="dxa"/>
            </w:tcMar>
            <w:shd w:fill="FFFFFF"/>
          </w:tcPr>
          <w:p>
            <w:pPr>
              <w:pStyle w:val="TableText"/>
            </w:pPr>
            <w:r>
              <w:t>fold_id、fit_end、calibration_end、label_end_max</w:t>
            </w:r>
          </w:p>
        </w:tc>
        <w:tc>
          <w:tcPr>
            <w:tcW w:type="dxa" w:w="3490"/>
            <w:vAlign w:val="center"/>
            <w:tcMar>
              <w:top w:w="55" w:type="dxa"/>
              <w:bottom w:w="55" w:type="dxa"/>
              <w:left w:w="75" w:type="dxa"/>
              <w:right w:w="75" w:type="dxa"/>
            </w:tcMar>
            <w:shd w:fill="FFFFFF"/>
          </w:tcPr>
          <w:p>
            <w:pPr>
              <w:pStyle w:val="TableText"/>
            </w:pPr>
            <w:r>
              <w:t>不跨入允许的测试边界</w:t>
            </w:r>
          </w:p>
        </w:tc>
      </w:tr>
      <w:tr>
        <w:trPr>
          <w:cantSplit/>
        </w:trPr>
        <w:tc>
          <w:tcPr>
            <w:tcW w:type="dxa" w:w="1454"/>
            <w:vAlign w:val="center"/>
            <w:tcMar>
              <w:top w:w="55" w:type="dxa"/>
              <w:bottom w:w="55" w:type="dxa"/>
              <w:left w:w="75" w:type="dxa"/>
              <w:right w:w="75" w:type="dxa"/>
            </w:tcMar>
            <w:shd w:fill="F2F6F8"/>
          </w:tcPr>
          <w:p>
            <w:pPr>
              <w:pStyle w:val="TableText"/>
            </w:pPr>
            <w:r>
              <w:t>预测输出</w:t>
            </w:r>
          </w:p>
        </w:tc>
        <w:tc>
          <w:tcPr>
            <w:tcW w:type="dxa" w:w="4750"/>
            <w:vAlign w:val="center"/>
            <w:tcMar>
              <w:top w:w="55" w:type="dxa"/>
              <w:bottom w:w="55" w:type="dxa"/>
              <w:left w:w="75" w:type="dxa"/>
              <w:right w:w="75" w:type="dxa"/>
            </w:tcMar>
            <w:shd w:fill="F2F6F8"/>
          </w:tcPr>
          <w:p>
            <w:pPr>
              <w:pStyle w:val="TableText"/>
            </w:pPr>
            <w:r>
              <w:t>target_name、horizon、score、quality_flag、valid_until</w:t>
            </w:r>
          </w:p>
        </w:tc>
        <w:tc>
          <w:tcPr>
            <w:tcW w:type="dxa" w:w="3490"/>
            <w:vAlign w:val="center"/>
            <w:tcMar>
              <w:top w:w="55" w:type="dxa"/>
              <w:bottom w:w="55" w:type="dxa"/>
              <w:left w:w="75" w:type="dxa"/>
              <w:right w:w="75" w:type="dxa"/>
            </w:tcMar>
            <w:shd w:fill="F2F6F8"/>
          </w:tcPr>
          <w:p>
            <w:pPr>
              <w:pStyle w:val="TableText"/>
            </w:pPr>
            <w:r>
              <w:t>标签和有效期明确</w:t>
            </w:r>
          </w:p>
        </w:tc>
      </w:tr>
    </w:tbl>
    <w:p>
      <w:pPr>
        <w:spacing w:after="0" w:before="0" w:line="80" w:lineRule="exact"/>
      </w:pPr>
      <w:r>
        <w:rPr>
          <w:sz w:val="4"/>
        </w:rPr>
      </w:r>
    </w:p>
    <w:p>
      <w:r>
        <w:t>预测输出不应含未来实现值。未来实现值放入独立评估表，避免策略或研究代理在读信号时意外接触标签。</w:t>
      </w:r>
    </w:p>
    <w:p>
      <w:pPr>
        <w:pStyle w:val="Heading2"/>
      </w:pPr>
      <w:r>
        <w:t>A.2 表征接口示意</w:t>
      </w:r>
    </w:p>
    <w:p>
      <w:r>
        <w:t>下面是拟议接口的职责示意，不是已经运行验证的完整实现。真正实现需加上数据契约、版本加载和设备处理。</w:t>
      </w:r>
    </w:p>
    <w:p>
      <w:pPr>
        <w:pStyle w:val="CodeBlock"/>
        <w:keepNext/>
        <w:shd w:fill="EFF5F7"/>
      </w:pPr>
      <w:r>
        <w:t># history 只包含 decision_at 时已经可用的已完成 K 线。</w:t>
      </w:r>
    </w:p>
    <w:p>
      <w:pPr>
        <w:pStyle w:val="CodeBlock"/>
        <w:keepNext/>
        <w:shd w:fill="EFF5F7"/>
      </w:pPr>
      <w:r>
        <w:t># model 和 tokenizer 已固定 revision，并显式设为 eval。</w:t>
      </w:r>
    </w:p>
    <w:p>
      <w:pPr>
        <w:pStyle w:val="CodeBlock"/>
        <w:keepNext/>
        <w:shd w:fill="EFF5F7"/>
      </w:pPr>
      <w:r>
        <w:t># 每个预测原点独立构造、标准化窗口；不得混用全历史统计量。</w:t>
      </w:r>
    </w:p>
    <w:p>
      <w:pPr>
        <w:pStyle w:val="CodeBlock"/>
        <w:keepNext/>
        <w:shd w:fill="EFF5F7"/>
      </w:pPr>
      <w:r>
        <w:t>x, stamp = prepare_causal_window(history, config)</w:t>
      </w:r>
    </w:p>
    <w:p>
      <w:pPr>
        <w:pStyle w:val="CodeBlock"/>
        <w:keepNext/>
        <w:shd w:fill="EFF5F7"/>
      </w:pPr>
      <w:r>
        <w:t>with torch.inference_mode():</w:t>
      </w:r>
    </w:p>
    <w:p>
      <w:pPr>
        <w:pStyle w:val="CodeBlock"/>
        <w:keepNext/>
        <w:shd w:fill="EFF5F7"/>
      </w:pPr>
      <w:r>
        <w:t xml:space="preserve">    s1, s2 = tokenizer.encode(x, half=True)</w:t>
      </w:r>
    </w:p>
    <w:p>
      <w:pPr>
        <w:pStyle w:val="CodeBlock"/>
        <w:keepNext/>
        <w:shd w:fill="EFF5F7"/>
      </w:pPr>
      <w:r>
        <w:t xml:space="preserve">    _, context = model.decode_s1(s1, s2, stamp)</w:t>
      </w:r>
    </w:p>
    <w:p>
      <w:pPr>
        <w:pStyle w:val="CodeBlock"/>
        <w:keepNext/>
        <w:shd w:fill="EFF5F7"/>
      </w:pPr>
      <w:r>
        <w:t xml:space="preserve">    z = context[:, -1, :]  # 等长、无尾部 padding 的情形</w:t>
      </w:r>
    </w:p>
    <w:p>
      <w:pPr>
        <w:pStyle w:val="CodeBlock"/>
        <w:keepNext/>
        <w:shd w:fill="EFF5F7"/>
      </w:pPr>
      <w:r>
        <w:t># 有 padding 时应选择各样本最后一个有效位置。</w:t>
      </w:r>
    </w:p>
    <w:p>
      <w:pPr>
        <w:pStyle w:val="CodeBlock"/>
        <w:keepNext w:val="0"/>
        <w:shd w:fill="EFF5F7"/>
      </w:pPr>
      <w:r>
        <w:t># z 的缓存键包含窗口、标准化和所有模型／数据版本。</w:t>
      </w:r>
    </w:p>
    <w:p>
      <w:pPr>
        <w:spacing w:after="20"/>
      </w:pPr>
    </w:p>
    <w:p>
      <w:r>
        <w:t xml:space="preserve">正式实现应验证单样本和批处理一致性，并补齐输入校验、设备／精度设置及异常处理。读取 </w:t>
      </w:r>
      <w:r>
        <w:rPr>
          <w:rFonts w:ascii="Carlito" w:hAnsi="Carlito" w:eastAsia="Noto Sans CJK SC"/>
          <w:color w:val="167A86"/>
        </w:rPr>
        <w:t>context</w:t>
      </w:r>
      <w:r>
        <w:t xml:space="preserve"> 是现有代码能力；</w:t>
      </w:r>
      <w:r>
        <w:rPr>
          <w:rFonts w:ascii="Carlito" w:hAnsi="Carlito" w:eastAsia="Noto Sans CJK SC"/>
          <w:color w:val="167A86"/>
        </w:rPr>
        <w:t>prepare_causal_window</w:t>
      </w:r>
      <w:r>
        <w:t xml:space="preserve"> 是需要自行开发的接口。</w:t>
      </w:r>
      <w:hyperlink w:anchor="ref03">
        <w:r>
          <w:rPr>
            <w:color w:val="167A86"/>
            <w:rFonts w:ascii="Carlito" w:hAnsi="Carlito" w:eastAsia="Noto Sans CJK SC"/>
            <w:sz w:val="19"/>
          </w:rPr>
          <w:t>[03]</w:t>
        </w:r>
      </w:hyperlink>
    </w:p>
    <w:p>
      <w:pPr>
        <w:pStyle w:val="Heading2"/>
        <w:pageBreakBefore/>
      </w:pPr>
      <w:r>
        <w:t>A.3 首轮配置示例</w:t>
      </w:r>
    </w:p>
    <w:p>
      <w:pPr>
        <w:pStyle w:val="CodeBlock"/>
        <w:keepNext w:val="0"/>
        <w:shd w:fill="EFF5F7"/>
      </w:pPr>
      <w:r>
        <w:t># 研究起点；非现有 CLI，非经验证最优参数。</w:t>
      </w:r>
    </w:p>
    <w:p>
      <w:pPr>
        <w:pStyle w:val="CodeBlock"/>
        <w:keepNext w:val="0"/>
        <w:shd w:fill="EFF5F7"/>
      </w:pPr>
      <w:r>
        <w:t>experiment:</w:t>
      </w:r>
    </w:p>
    <w:p>
      <w:pPr>
        <w:pStyle w:val="CodeBlock"/>
        <w:keepNext w:val="0"/>
        <w:shd w:fill="EFF5F7"/>
      </w:pPr>
      <w:r>
        <w:t xml:space="preserve">  primary_task: momentum_participation</w:t>
      </w:r>
    </w:p>
    <w:p>
      <w:pPr>
        <w:pStyle w:val="CodeBlock"/>
        <w:keepNext w:val="0"/>
        <w:shd w:fill="EFF5F7"/>
      </w:pPr>
      <w:r>
        <w:t xml:space="preserve">  outer_split: walk_forward</w:t>
      </w:r>
    </w:p>
    <w:p>
      <w:pPr>
        <w:pStyle w:val="CodeBlock"/>
        <w:keepNext w:val="0"/>
        <w:shd w:fill="EFF5F7"/>
      </w:pPr>
      <w:r>
        <w:t xml:space="preserve">  final_holdout: locked</w:t>
      </w:r>
    </w:p>
    <w:p>
      <w:pPr>
        <w:pStyle w:val="CodeBlock"/>
        <w:keepNext w:val="0"/>
        <w:shd w:fill="EFF5F7"/>
      </w:pPr>
      <w:r>
        <w:t xml:space="preserve">  register_all_trials: true</w:t>
      </w:r>
    </w:p>
    <w:p>
      <w:pPr>
        <w:pStyle w:val="CodeBlock"/>
        <w:keepNext w:val="0"/>
        <w:shd w:fill="EFF5F7"/>
      </w:pPr>
      <w:r>
        <w:t>model:</w:t>
      </w:r>
    </w:p>
    <w:p>
      <w:pPr>
        <w:pStyle w:val="CodeBlock"/>
        <w:keepNext w:val="0"/>
        <w:shd w:fill="EFF5F7"/>
      </w:pPr>
      <w:r>
        <w:t xml:space="preserve">  name: Kronos-small</w:t>
      </w:r>
    </w:p>
    <w:p>
      <w:pPr>
        <w:pStyle w:val="CodeBlock"/>
        <w:keepNext w:val="0"/>
        <w:shd w:fill="EFF5F7"/>
      </w:pPr>
      <w:r>
        <w:t xml:space="preserve">  repository_commit: 67b630e67f6a18c9e9be918d9b4337c960db1e9a</w:t>
      </w:r>
    </w:p>
    <w:p>
      <w:pPr>
        <w:pStyle w:val="CodeBlock"/>
        <w:keepNext w:val="0"/>
        <w:shd w:fill="EFF5F7"/>
      </w:pPr>
      <w:r>
        <w:t xml:space="preserve">  model_revision: REQUIRED</w:t>
      </w:r>
    </w:p>
    <w:p>
      <w:pPr>
        <w:pStyle w:val="CodeBlock"/>
        <w:keepNext w:val="0"/>
        <w:shd w:fill="EFF5F7"/>
      </w:pPr>
      <w:r>
        <w:t xml:space="preserve">  tokenizer_revision: REQUIRED</w:t>
      </w:r>
    </w:p>
    <w:p>
      <w:pPr>
        <w:pStyle w:val="CodeBlock"/>
        <w:keepNext w:val="0"/>
        <w:shd w:fill="EFF5F7"/>
      </w:pPr>
      <w:r>
        <w:t xml:space="preserve">  freeze_backbone: true</w:t>
      </w:r>
    </w:p>
    <w:p>
      <w:pPr>
        <w:pStyle w:val="CodeBlock"/>
        <w:keepNext w:val="0"/>
        <w:shd w:fill="EFF5F7"/>
      </w:pPr>
      <w:r>
        <w:t xml:space="preserve">  freeze_tokenizer: true</w:t>
      </w:r>
    </w:p>
    <w:p>
      <w:pPr>
        <w:pStyle w:val="CodeBlock"/>
        <w:keepNext w:val="0"/>
        <w:shd w:fill="EFF5F7"/>
      </w:pPr>
      <w:r>
        <w:t xml:space="preserve">  lookback: 256</w:t>
      </w:r>
    </w:p>
    <w:p>
      <w:pPr>
        <w:pStyle w:val="CodeBlock"/>
        <w:keepNext w:val="0"/>
        <w:shd w:fill="EFF5F7"/>
      </w:pPr>
      <w:r>
        <w:t xml:space="preserve">  representation: last_valid_hidden</w:t>
      </w:r>
    </w:p>
    <w:p>
      <w:pPr>
        <w:pStyle w:val="CodeBlock"/>
        <w:keepNext w:val="0"/>
        <w:shd w:fill="EFF5F7"/>
      </w:pPr>
      <w:r>
        <w:t xml:space="preserve">  seed_set: [17, 29, 43]</w:t>
      </w:r>
    </w:p>
    <w:p>
      <w:pPr>
        <w:pStyle w:val="CodeBlock"/>
        <w:keepNext w:val="0"/>
        <w:shd w:fill="EFF5F7"/>
      </w:pPr>
      <w:r>
        <w:t>data:</w:t>
      </w:r>
    </w:p>
    <w:p>
      <w:pPr>
        <w:pStyle w:val="CodeBlock"/>
        <w:keepNext w:val="0"/>
        <w:shd w:fill="EFF5F7"/>
      </w:pPr>
      <w:r>
        <w:t xml:space="preserve">  timeframe: 1h</w:t>
      </w:r>
    </w:p>
    <w:p>
      <w:pPr>
        <w:pStyle w:val="CodeBlock"/>
        <w:keepNext w:val="0"/>
        <w:shd w:fill="EFF5F7"/>
      </w:pPr>
      <w:r>
        <w:t xml:space="preserve">  target_horizon_bars: 4</w:t>
      </w:r>
    </w:p>
    <w:p>
      <w:pPr>
        <w:pStyle w:val="CodeBlock"/>
        <w:keepNext w:val="0"/>
        <w:shd w:fill="EFF5F7"/>
      </w:pPr>
      <w:r>
        <w:t xml:space="preserve">  universe_rule: point_in_time_liquidity</w:t>
      </w:r>
    </w:p>
    <w:p>
      <w:pPr>
        <w:pStyle w:val="CodeBlock"/>
        <w:keepNext w:val="0"/>
        <w:shd w:fill="EFF5F7"/>
      </w:pPr>
      <w:r>
        <w:t xml:space="preserve">  availability_join: backward_asof</w:t>
      </w:r>
    </w:p>
    <w:p>
      <w:pPr>
        <w:pStyle w:val="CodeBlock"/>
        <w:keepNext w:val="0"/>
        <w:shd w:fill="EFF5F7"/>
      </w:pPr>
      <w:r>
        <w:t xml:space="preserve">  max_staleness: REQUIRED_PER_FIELD</w:t>
      </w:r>
    </w:p>
    <w:p>
      <w:pPr>
        <w:pStyle w:val="CodeBlock"/>
        <w:keepNext w:val="0"/>
        <w:shd w:fill="EFF5F7"/>
      </w:pPr>
      <w:r>
        <w:t>execution:</w:t>
      </w:r>
    </w:p>
    <w:p>
      <w:pPr>
        <w:pStyle w:val="CodeBlock"/>
        <w:keepNext w:val="0"/>
        <w:shd w:fill="EFF5F7"/>
      </w:pPr>
      <w:r>
        <w:t xml:space="preserve">  earliest_fill: after_signal_available</w:t>
      </w:r>
    </w:p>
    <w:p>
      <w:pPr>
        <w:pStyle w:val="CodeBlock"/>
        <w:keepNext w:val="0"/>
        <w:shd w:fill="EFF5F7"/>
      </w:pPr>
      <w:r>
        <w:t xml:space="preserve">  fee_schedule: REQUIRED</w:t>
      </w:r>
    </w:p>
    <w:p>
      <w:pPr>
        <w:pStyle w:val="CodeBlock"/>
        <w:keepNext w:val="0"/>
        <w:shd w:fill="EFF5F7"/>
      </w:pPr>
      <w:r>
        <w:t xml:space="preserve">  slippage_model: REQUIRED</w:t>
      </w:r>
    </w:p>
    <w:p>
      <w:pPr>
        <w:pStyle w:val="CodeBlock"/>
        <w:keepNext w:val="0"/>
        <w:shd w:fill="EFF5F7"/>
      </w:pPr>
      <w:r>
        <w:t xml:space="preserve">  funding_accounting: signed_by_position</w:t>
      </w:r>
    </w:p>
    <w:p>
      <w:pPr>
        <w:spacing w:after="20"/>
      </w:pPr>
    </w:p>
    <w:p>
      <w:r>
        <w:t>示例中的 1h、4 根、256 根和随机种子只用于给工程提供完整形状。任何更换都应登记；不能在看完锁定测试后把它改成更漂亮的组合。REQUIRED 项未填时，系统应拒绝正式评估。</w:t>
      </w:r>
    </w:p>
    <w:p>
      <w:pPr>
        <w:pStyle w:val="Heading2"/>
      </w:pPr>
      <w:r>
        <w:t>A.4 一页式实验结论模板</w:t>
      </w:r>
    </w:p>
    <w:p>
      <w:r>
        <w:t>每个实验记录：假设与经济理由；相对基线的唯一改动；代码／数据／权重版本；训练、验证、校准、测试区间；全部尝试数；主要与次要指标；成本压力；收益集中度；失败测试；结论；晋级或停止理由。</w:t>
      </w:r>
    </w:p>
    <w:p>
      <w:r>
        <w:t>结论只使用“支持继续研究”“未见增量”“证据不足”“因审计问题无效”等明确措辞。不要用“模型理解了市场”“发现稳定机制”代替可复核结果。</w:t>
      </w:r>
    </w:p>
    <w:p>
      <w:pPr>
        <w:pStyle w:val="Heading1"/>
      </w:pPr>
      <w:bookmarkStart w:id="19" w:name="sec18"/>
      <w:r>
        <w:t>附录 B 术语与解释边界</w:t>
      </w:r>
      <w:bookmarkEnd w:id="19"/>
    </w:p>
    <w:tbl>
      <w:tblPr>
        <w:tblW w:type="dxa" w:w="9694"/>
        <w:jc w:val="center"/>
        <w:tblLayout w:type="fixed"/>
        <w:tblLook w:firstColumn="1" w:firstRow="1" w:lastColumn="0" w:lastRow="0" w:noHBand="0" w:noVBand="1" w:val="04A0"/>
        <w:tblBorders>
          <w:top w:val="single" w:sz="4" w:color="DCE5E9"/>
          <w:left w:val="single" w:sz="4" w:color="DCE5E9"/>
          <w:bottom w:val="single" w:sz="4" w:color="DCE5E9"/>
          <w:right w:val="single" w:sz="4" w:color="DCE5E9"/>
          <w:insideH w:val="single" w:sz="4" w:color="DCE5E9"/>
          <w:insideV w:val="single" w:sz="4" w:color="DCE5E9"/>
        </w:tblBorders>
      </w:tblPr>
      <w:tblGrid>
        <w:gridCol w:w="2520"/>
        <w:gridCol w:w="3587"/>
        <w:gridCol w:w="3587"/>
      </w:tblGrid>
      <w:tr>
        <w:trPr>
          <w:cantSplit/>
          <w:tblHeader/>
        </w:trPr>
        <w:tc>
          <w:tcPr>
            <w:tcW w:type="dxa" w:w="2520"/>
            <w:vAlign w:val="center"/>
            <w:tcMar>
              <w:top w:w="55" w:type="dxa"/>
              <w:bottom w:w="55" w:type="dxa"/>
              <w:left w:w="75" w:type="dxa"/>
              <w:right w:w="75" w:type="dxa"/>
            </w:tcMar>
            <w:shd w:fill="173444"/>
          </w:tcPr>
          <w:p>
            <w:pPr>
              <w:pStyle w:val="TableText"/>
              <w:keepNext/>
            </w:pPr>
            <w:r>
              <w:rPr>
                <w:b/>
                <w:color w:val="FFFFFF"/>
                <w:sz w:val="18"/>
              </w:rPr>
              <w:t>术语</w:t>
            </w:r>
          </w:p>
        </w:tc>
        <w:tc>
          <w:tcPr>
            <w:tcW w:type="dxa" w:w="3587"/>
            <w:vAlign w:val="center"/>
            <w:tcMar>
              <w:top w:w="55" w:type="dxa"/>
              <w:bottom w:w="55" w:type="dxa"/>
              <w:left w:w="75" w:type="dxa"/>
              <w:right w:w="75" w:type="dxa"/>
            </w:tcMar>
            <w:shd w:fill="173444"/>
          </w:tcPr>
          <w:p>
            <w:pPr>
              <w:pStyle w:val="TableText"/>
              <w:keepNext/>
            </w:pPr>
            <w:r>
              <w:rPr>
                <w:b/>
                <w:color w:val="FFFFFF"/>
                <w:sz w:val="18"/>
              </w:rPr>
              <w:t>本文含义</w:t>
            </w:r>
          </w:p>
        </w:tc>
        <w:tc>
          <w:tcPr>
            <w:tcW w:type="dxa" w:w="3587"/>
            <w:vAlign w:val="center"/>
            <w:tcMar>
              <w:top w:w="55" w:type="dxa"/>
              <w:bottom w:w="55" w:type="dxa"/>
              <w:left w:w="75" w:type="dxa"/>
              <w:right w:w="75" w:type="dxa"/>
            </w:tcMar>
            <w:shd w:fill="173444"/>
          </w:tcPr>
          <w:p>
            <w:pPr>
              <w:pStyle w:val="TableText"/>
              <w:keepNext/>
            </w:pPr>
            <w:r>
              <w:rPr>
                <w:b/>
                <w:color w:val="FFFFFF"/>
                <w:sz w:val="18"/>
              </w:rPr>
              <w:t>不能自动推出什么</w:t>
            </w:r>
          </w:p>
        </w:tc>
      </w:tr>
      <w:tr>
        <w:trPr>
          <w:cantSplit/>
        </w:trPr>
        <w:tc>
          <w:tcPr>
            <w:tcW w:type="dxa" w:w="2520"/>
            <w:vAlign w:val="center"/>
            <w:tcMar>
              <w:top w:w="55" w:type="dxa"/>
              <w:bottom w:w="55" w:type="dxa"/>
              <w:left w:w="75" w:type="dxa"/>
              <w:right w:w="75" w:type="dxa"/>
            </w:tcMar>
            <w:shd w:fill="FFFFFF"/>
          </w:tcPr>
          <w:p>
            <w:pPr>
              <w:pStyle w:val="TableText"/>
            </w:pPr>
            <w:r>
              <w:t>表征／representation</w:t>
            </w:r>
          </w:p>
        </w:tc>
        <w:tc>
          <w:tcPr>
            <w:tcW w:type="dxa" w:w="3587"/>
            <w:vAlign w:val="center"/>
            <w:tcMar>
              <w:top w:w="55" w:type="dxa"/>
              <w:bottom w:w="55" w:type="dxa"/>
              <w:left w:w="75" w:type="dxa"/>
              <w:right w:w="75" w:type="dxa"/>
            </w:tcMar>
            <w:shd w:fill="FFFFFF"/>
          </w:tcPr>
          <w:p>
            <w:pPr>
              <w:pStyle w:val="TableText"/>
            </w:pPr>
            <w:r>
              <w:t>从历史输入提取的向量</w:t>
            </w:r>
          </w:p>
        </w:tc>
        <w:tc>
          <w:tcPr>
            <w:tcW w:type="dxa" w:w="3587"/>
            <w:vAlign w:val="center"/>
            <w:tcMar>
              <w:top w:w="55" w:type="dxa"/>
              <w:bottom w:w="55" w:type="dxa"/>
              <w:left w:w="75" w:type="dxa"/>
              <w:right w:w="75" w:type="dxa"/>
            </w:tcMar>
            <w:shd w:fill="FFFFFF"/>
          </w:tcPr>
          <w:p>
            <w:pPr>
              <w:pStyle w:val="TableText"/>
            </w:pPr>
            <w:r>
              <w:t>已获得新信息或经济理解</w:t>
            </w:r>
          </w:p>
        </w:tc>
      </w:tr>
      <w:tr>
        <w:trPr>
          <w:cantSplit/>
        </w:trPr>
        <w:tc>
          <w:tcPr>
            <w:tcW w:type="dxa" w:w="2520"/>
            <w:vAlign w:val="center"/>
            <w:tcMar>
              <w:top w:w="55" w:type="dxa"/>
              <w:bottom w:w="55" w:type="dxa"/>
              <w:left w:w="75" w:type="dxa"/>
              <w:right w:w="75" w:type="dxa"/>
            </w:tcMar>
            <w:shd w:fill="F2F6F8"/>
          </w:tcPr>
          <w:p>
            <w:pPr>
              <w:pStyle w:val="TableText"/>
            </w:pPr>
            <w:r>
              <w:t>Alpha／增量收益</w:t>
            </w:r>
          </w:p>
        </w:tc>
        <w:tc>
          <w:tcPr>
            <w:tcW w:type="dxa" w:w="3587"/>
            <w:vAlign w:val="center"/>
            <w:tcMar>
              <w:top w:w="55" w:type="dxa"/>
              <w:bottom w:w="55" w:type="dxa"/>
              <w:left w:w="75" w:type="dxa"/>
              <w:right w:w="75" w:type="dxa"/>
            </w:tcMar>
            <w:shd w:fill="F2F6F8"/>
          </w:tcPr>
          <w:p>
            <w:pPr>
              <w:pStyle w:val="TableText"/>
            </w:pPr>
            <w:r>
              <w:t>在指定基准、风险与成本口径下的贡献</w:t>
            </w:r>
          </w:p>
        </w:tc>
        <w:tc>
          <w:tcPr>
            <w:tcW w:type="dxa" w:w="3587"/>
            <w:vAlign w:val="center"/>
            <w:tcMar>
              <w:top w:w="55" w:type="dxa"/>
              <w:bottom w:w="55" w:type="dxa"/>
              <w:left w:w="75" w:type="dxa"/>
              <w:right w:w="75" w:type="dxa"/>
            </w:tcMar>
            <w:shd w:fill="F2F6F8"/>
          </w:tcPr>
          <w:p>
            <w:pPr>
              <w:pStyle w:val="TableText"/>
            </w:pPr>
            <w:r>
              <w:t>某段绝对赚钱就有 alpha</w:t>
            </w:r>
          </w:p>
        </w:tc>
      </w:tr>
      <w:tr>
        <w:trPr>
          <w:cantSplit/>
        </w:trPr>
        <w:tc>
          <w:tcPr>
            <w:tcW w:type="dxa" w:w="2520"/>
            <w:vAlign w:val="center"/>
            <w:tcMar>
              <w:top w:w="55" w:type="dxa"/>
              <w:bottom w:w="55" w:type="dxa"/>
              <w:left w:w="75" w:type="dxa"/>
              <w:right w:w="75" w:type="dxa"/>
            </w:tcMar>
            <w:shd w:fill="FFFFFF"/>
          </w:tcPr>
          <w:p>
            <w:pPr>
              <w:pStyle w:val="TableText"/>
            </w:pPr>
            <w:r>
              <w:t>Regime／市场状态</w:t>
            </w:r>
          </w:p>
        </w:tc>
        <w:tc>
          <w:tcPr>
            <w:tcW w:type="dxa" w:w="3587"/>
            <w:vAlign w:val="center"/>
            <w:tcMar>
              <w:top w:w="55" w:type="dxa"/>
              <w:bottom w:w="55" w:type="dxa"/>
              <w:left w:w="75" w:type="dxa"/>
              <w:right w:w="75" w:type="dxa"/>
            </w:tcMar>
            <w:shd w:fill="FFFFFF"/>
          </w:tcPr>
          <w:p>
            <w:pPr>
              <w:pStyle w:val="TableText"/>
            </w:pPr>
            <w:r>
              <w:t>可定义或预测的条件状态</w:t>
            </w:r>
          </w:p>
        </w:tc>
        <w:tc>
          <w:tcPr>
            <w:tcW w:type="dxa" w:w="3587"/>
            <w:vAlign w:val="center"/>
            <w:tcMar>
              <w:top w:w="55" w:type="dxa"/>
              <w:bottom w:w="55" w:type="dxa"/>
              <w:left w:w="75" w:type="dxa"/>
              <w:right w:w="75" w:type="dxa"/>
            </w:tcMar>
            <w:shd w:fill="FFFFFF"/>
          </w:tcPr>
          <w:p>
            <w:pPr>
              <w:pStyle w:val="TableText"/>
            </w:pPr>
            <w:r>
              <w:t>事后可区分就能事前择时</w:t>
            </w:r>
          </w:p>
        </w:tc>
      </w:tr>
      <w:tr>
        <w:trPr>
          <w:cantSplit/>
        </w:trPr>
        <w:tc>
          <w:tcPr>
            <w:tcW w:type="dxa" w:w="2520"/>
            <w:vAlign w:val="center"/>
            <w:tcMar>
              <w:top w:w="55" w:type="dxa"/>
              <w:bottom w:w="55" w:type="dxa"/>
              <w:left w:w="75" w:type="dxa"/>
              <w:right w:w="75" w:type="dxa"/>
            </w:tcMar>
            <w:shd w:fill="F2F6F8"/>
          </w:tcPr>
          <w:p>
            <w:pPr>
              <w:pStyle w:val="TableText"/>
            </w:pPr>
            <w:r>
              <w:t>DAPT／继续预训练</w:t>
            </w:r>
          </w:p>
        </w:tc>
        <w:tc>
          <w:tcPr>
            <w:tcW w:type="dxa" w:w="3587"/>
            <w:vAlign w:val="center"/>
            <w:tcMar>
              <w:top w:w="55" w:type="dxa"/>
              <w:bottom w:w="55" w:type="dxa"/>
              <w:left w:w="75" w:type="dxa"/>
              <w:right w:w="75" w:type="dxa"/>
            </w:tcMar>
            <w:shd w:fill="F2F6F8"/>
          </w:tcPr>
          <w:p>
            <w:pPr>
              <w:pStyle w:val="TableText"/>
            </w:pPr>
            <w:r>
              <w:t>在领域语料上继续优化预训练目标</w:t>
            </w:r>
          </w:p>
        </w:tc>
        <w:tc>
          <w:tcPr>
            <w:tcW w:type="dxa" w:w="3587"/>
            <w:vAlign w:val="center"/>
            <w:tcMar>
              <w:top w:w="55" w:type="dxa"/>
              <w:bottom w:w="55" w:type="dxa"/>
              <w:left w:w="75" w:type="dxa"/>
              <w:right w:w="75" w:type="dxa"/>
            </w:tcMar>
            <w:shd w:fill="F2F6F8"/>
          </w:tcPr>
          <w:p>
            <w:pPr>
              <w:pStyle w:val="TableText"/>
            </w:pPr>
            <w:r>
              <w:t>token loss 下降就能盈利</w:t>
            </w:r>
          </w:p>
        </w:tc>
      </w:tr>
      <w:tr>
        <w:trPr>
          <w:cantSplit/>
        </w:trPr>
        <w:tc>
          <w:tcPr>
            <w:tcW w:type="dxa" w:w="2520"/>
            <w:vAlign w:val="center"/>
            <w:tcMar>
              <w:top w:w="55" w:type="dxa"/>
              <w:bottom w:w="55" w:type="dxa"/>
              <w:left w:w="75" w:type="dxa"/>
              <w:right w:w="75" w:type="dxa"/>
            </w:tcMar>
            <w:shd w:fill="FFFFFF"/>
          </w:tcPr>
          <w:p>
            <w:pPr>
              <w:pStyle w:val="TableText"/>
            </w:pPr>
            <w:r>
              <w:t>Probe／探针</w:t>
            </w:r>
          </w:p>
        </w:tc>
        <w:tc>
          <w:tcPr>
            <w:tcW w:type="dxa" w:w="3587"/>
            <w:vAlign w:val="center"/>
            <w:tcMar>
              <w:top w:w="55" w:type="dxa"/>
              <w:bottom w:w="55" w:type="dxa"/>
              <w:left w:w="75" w:type="dxa"/>
              <w:right w:w="75" w:type="dxa"/>
            </w:tcMar>
            <w:shd w:fill="FFFFFF"/>
          </w:tcPr>
          <w:p>
            <w:pPr>
              <w:pStyle w:val="TableText"/>
            </w:pPr>
            <w:r>
              <w:t>在固定表示上训练小读出器</w:t>
            </w:r>
          </w:p>
        </w:tc>
        <w:tc>
          <w:tcPr>
            <w:tcW w:type="dxa" w:w="3587"/>
            <w:vAlign w:val="center"/>
            <w:tcMar>
              <w:top w:w="55" w:type="dxa"/>
              <w:bottom w:w="55" w:type="dxa"/>
              <w:left w:w="75" w:type="dxa"/>
              <w:right w:w="75" w:type="dxa"/>
            </w:tcMar>
            <w:shd w:fill="FFFFFF"/>
          </w:tcPr>
          <w:p>
            <w:pPr>
              <w:pStyle w:val="TableText"/>
            </w:pPr>
            <w:r>
              <w:t>线性失败等于完全无信息</w:t>
            </w:r>
          </w:p>
        </w:tc>
      </w:tr>
      <w:tr>
        <w:trPr>
          <w:cantSplit/>
        </w:trPr>
        <w:tc>
          <w:tcPr>
            <w:tcW w:type="dxa" w:w="2520"/>
            <w:vAlign w:val="center"/>
            <w:tcMar>
              <w:top w:w="55" w:type="dxa"/>
              <w:bottom w:w="55" w:type="dxa"/>
              <w:left w:w="75" w:type="dxa"/>
              <w:right w:w="75" w:type="dxa"/>
            </w:tcMar>
            <w:shd w:fill="F2F6F8"/>
          </w:tcPr>
          <w:p>
            <w:pPr>
              <w:pStyle w:val="TableText"/>
            </w:pPr>
            <w:r>
              <w:t>Calibration／校准</w:t>
            </w:r>
          </w:p>
        </w:tc>
        <w:tc>
          <w:tcPr>
            <w:tcW w:type="dxa" w:w="3587"/>
            <w:vAlign w:val="center"/>
            <w:tcMar>
              <w:top w:w="55" w:type="dxa"/>
              <w:bottom w:w="55" w:type="dxa"/>
              <w:left w:w="75" w:type="dxa"/>
              <w:right w:w="75" w:type="dxa"/>
            </w:tcMar>
            <w:shd w:fill="F2F6F8"/>
          </w:tcPr>
          <w:p>
            <w:pPr>
              <w:pStyle w:val="TableText"/>
            </w:pPr>
            <w:r>
              <w:t>预测概率／区间与实现频率一致性</w:t>
            </w:r>
          </w:p>
        </w:tc>
        <w:tc>
          <w:tcPr>
            <w:tcW w:type="dxa" w:w="3587"/>
            <w:vAlign w:val="center"/>
            <w:tcMar>
              <w:top w:w="55" w:type="dxa"/>
              <w:bottom w:w="55" w:type="dxa"/>
              <w:left w:w="75" w:type="dxa"/>
              <w:right w:w="75" w:type="dxa"/>
            </w:tcMar>
            <w:shd w:fill="F2F6F8"/>
          </w:tcPr>
          <w:p>
            <w:pPr>
              <w:pStyle w:val="TableText"/>
            </w:pPr>
            <w:r>
              <w:t>校准正确就有交易优势</w:t>
            </w:r>
          </w:p>
        </w:tc>
      </w:tr>
      <w:tr>
        <w:trPr>
          <w:cantSplit/>
        </w:trPr>
        <w:tc>
          <w:tcPr>
            <w:tcW w:type="dxa" w:w="2520"/>
            <w:vAlign w:val="center"/>
            <w:tcMar>
              <w:top w:w="55" w:type="dxa"/>
              <w:bottom w:w="55" w:type="dxa"/>
              <w:left w:w="75" w:type="dxa"/>
              <w:right w:w="75" w:type="dxa"/>
            </w:tcMar>
            <w:shd w:fill="FFFFFF"/>
          </w:tcPr>
          <w:p>
            <w:pPr>
              <w:pStyle w:val="TableText"/>
            </w:pPr>
            <w:r>
              <w:t>Event time／事件时间</w:t>
            </w:r>
          </w:p>
        </w:tc>
        <w:tc>
          <w:tcPr>
            <w:tcW w:type="dxa" w:w="3587"/>
            <w:vAlign w:val="center"/>
            <w:tcMar>
              <w:top w:w="55" w:type="dxa"/>
              <w:bottom w:w="55" w:type="dxa"/>
              <w:left w:w="75" w:type="dxa"/>
              <w:right w:w="75" w:type="dxa"/>
            </w:tcMar>
            <w:shd w:fill="FFFFFF"/>
          </w:tcPr>
          <w:p>
            <w:pPr>
              <w:pStyle w:val="TableText"/>
            </w:pPr>
            <w:r>
              <w:t>按活动阈值而非等时长分段</w:t>
            </w:r>
          </w:p>
        </w:tc>
        <w:tc>
          <w:tcPr>
            <w:tcW w:type="dxa" w:w="3587"/>
            <w:vAlign w:val="center"/>
            <w:tcMar>
              <w:top w:w="55" w:type="dxa"/>
              <w:bottom w:w="55" w:type="dxa"/>
              <w:left w:w="75" w:type="dxa"/>
              <w:right w:w="75" w:type="dxa"/>
            </w:tcMar>
            <w:shd w:fill="FFFFFF"/>
          </w:tcPr>
          <w:p>
            <w:pPr>
              <w:pStyle w:val="TableText"/>
            </w:pPr>
            <w:r>
              <w:t>每条事件包含相同信息量</w:t>
            </w:r>
          </w:p>
        </w:tc>
      </w:tr>
      <w:tr>
        <w:trPr>
          <w:cantSplit/>
        </w:trPr>
        <w:tc>
          <w:tcPr>
            <w:tcW w:type="dxa" w:w="2520"/>
            <w:vAlign w:val="center"/>
            <w:tcMar>
              <w:top w:w="55" w:type="dxa"/>
              <w:bottom w:w="55" w:type="dxa"/>
              <w:left w:w="75" w:type="dxa"/>
              <w:right w:w="75" w:type="dxa"/>
            </w:tcMar>
            <w:shd w:fill="F2F6F8"/>
          </w:tcPr>
          <w:p>
            <w:pPr>
              <w:pStyle w:val="TableText"/>
            </w:pPr>
            <w:r>
              <w:t>Point-in-time</w:t>
            </w:r>
          </w:p>
        </w:tc>
        <w:tc>
          <w:tcPr>
            <w:tcW w:type="dxa" w:w="3587"/>
            <w:vAlign w:val="center"/>
            <w:tcMar>
              <w:top w:w="55" w:type="dxa"/>
              <w:bottom w:w="55" w:type="dxa"/>
              <w:left w:w="75" w:type="dxa"/>
              <w:right w:w="75" w:type="dxa"/>
            </w:tcMar>
            <w:shd w:fill="F2F6F8"/>
          </w:tcPr>
          <w:p>
            <w:pPr>
              <w:pStyle w:val="TableText"/>
            </w:pPr>
            <w:r>
              <w:t>使用当时可得的数据版本</w:t>
            </w:r>
          </w:p>
        </w:tc>
        <w:tc>
          <w:tcPr>
            <w:tcW w:type="dxa" w:w="3587"/>
            <w:vAlign w:val="center"/>
            <w:tcMar>
              <w:top w:w="55" w:type="dxa"/>
              <w:bottom w:w="55" w:type="dxa"/>
              <w:left w:w="75" w:type="dxa"/>
              <w:right w:w="75" w:type="dxa"/>
            </w:tcMar>
            <w:shd w:fill="F2F6F8"/>
          </w:tcPr>
          <w:p>
            <w:pPr>
              <w:pStyle w:val="TableText"/>
            </w:pPr>
            <w:r>
              <w:t>当前历史文件天然满足要求</w:t>
            </w:r>
          </w:p>
        </w:tc>
      </w:tr>
      <w:tr>
        <w:trPr>
          <w:cantSplit/>
        </w:trPr>
        <w:tc>
          <w:tcPr>
            <w:tcW w:type="dxa" w:w="2520"/>
            <w:vAlign w:val="center"/>
            <w:tcMar>
              <w:top w:w="55" w:type="dxa"/>
              <w:bottom w:w="55" w:type="dxa"/>
              <w:left w:w="75" w:type="dxa"/>
              <w:right w:w="75" w:type="dxa"/>
            </w:tcMar>
            <w:shd w:fill="FFFFFF"/>
          </w:tcPr>
          <w:p>
            <w:pPr>
              <w:pStyle w:val="TableText"/>
            </w:pPr>
            <w:r>
              <w:t>OOS／样本外</w:t>
            </w:r>
          </w:p>
        </w:tc>
        <w:tc>
          <w:tcPr>
            <w:tcW w:type="dxa" w:w="3587"/>
            <w:vAlign w:val="center"/>
            <w:tcMar>
              <w:top w:w="55" w:type="dxa"/>
              <w:bottom w:w="55" w:type="dxa"/>
              <w:left w:w="75" w:type="dxa"/>
              <w:right w:w="75" w:type="dxa"/>
            </w:tcMar>
            <w:shd w:fill="FFFFFF"/>
          </w:tcPr>
          <w:p>
            <w:pPr>
              <w:pStyle w:val="TableText"/>
            </w:pPr>
            <w:r>
              <w:t>未参与当前训练与选择的评估区间</w:t>
            </w:r>
          </w:p>
        </w:tc>
        <w:tc>
          <w:tcPr>
            <w:tcW w:type="dxa" w:w="3587"/>
            <w:vAlign w:val="center"/>
            <w:tcMar>
              <w:top w:w="55" w:type="dxa"/>
              <w:bottom w:w="55" w:type="dxa"/>
              <w:left w:w="75" w:type="dxa"/>
              <w:right w:w="75" w:type="dxa"/>
            </w:tcMar>
            <w:shd w:fill="FFFFFF"/>
          </w:tcPr>
          <w:p>
            <w:pPr>
              <w:pStyle w:val="TableText"/>
            </w:pPr>
            <w:r>
              <w:t>反复用于调参仍是有效 OOS</w:t>
            </w:r>
          </w:p>
        </w:tc>
      </w:tr>
      <w:tr>
        <w:trPr>
          <w:cantSplit/>
        </w:trPr>
        <w:tc>
          <w:tcPr>
            <w:tcW w:type="dxa" w:w="2520"/>
            <w:vAlign w:val="center"/>
            <w:tcMar>
              <w:top w:w="55" w:type="dxa"/>
              <w:bottom w:w="55" w:type="dxa"/>
              <w:left w:w="75" w:type="dxa"/>
              <w:right w:w="75" w:type="dxa"/>
            </w:tcMar>
            <w:shd w:fill="F2F6F8"/>
          </w:tcPr>
          <w:p>
            <w:pPr>
              <w:pStyle w:val="TableText"/>
            </w:pPr>
            <w:r>
              <w:t>Neuro-symbolic</w:t>
            </w:r>
          </w:p>
        </w:tc>
        <w:tc>
          <w:tcPr>
            <w:tcW w:type="dxa" w:w="3587"/>
            <w:vAlign w:val="center"/>
            <w:tcMar>
              <w:top w:w="55" w:type="dxa"/>
              <w:bottom w:w="55" w:type="dxa"/>
              <w:left w:w="75" w:type="dxa"/>
              <w:right w:w="75" w:type="dxa"/>
            </w:tcMar>
            <w:shd w:fill="F2F6F8"/>
          </w:tcPr>
          <w:p>
            <w:pPr>
              <w:pStyle w:val="TableText"/>
            </w:pPr>
            <w:r>
              <w:t>神经表示与可执行符号规则结合</w:t>
            </w:r>
          </w:p>
        </w:tc>
        <w:tc>
          <w:tcPr>
            <w:tcW w:type="dxa" w:w="3587"/>
            <w:vAlign w:val="center"/>
            <w:tcMar>
              <w:top w:w="55" w:type="dxa"/>
              <w:bottom w:w="55" w:type="dxa"/>
              <w:left w:w="75" w:type="dxa"/>
              <w:right w:w="75" w:type="dxa"/>
            </w:tcMar>
            <w:shd w:fill="F2F6F8"/>
          </w:tcPr>
          <w:p>
            <w:pPr>
              <w:pStyle w:val="TableText"/>
            </w:pPr>
            <w:r>
              <w:t>因果性、可解释性或收益保证</w:t>
            </w:r>
          </w:p>
        </w:tc>
      </w:tr>
    </w:tbl>
    <w:p>
      <w:pPr>
        <w:spacing w:after="0" w:before="0" w:line="80" w:lineRule="exact"/>
      </w:pPr>
      <w:r>
        <w:rPr>
          <w:sz w:val="4"/>
        </w:rPr>
      </w:r>
    </w:p>
    <w:p>
      <w:r>
        <w:t>本方案不主张传统机器学习必然浅显，也不主张市场有效性使所有研究无意义。它主张把“信息是否存在”“模型是否读取到”“收益是否可执行”分别验证，避免用更复杂的架构代替问题定义。</w:t>
      </w:r>
    </w:p>
    <w:p>
      <w:pPr>
        <w:pStyle w:val="Heading1"/>
      </w:pPr>
      <w:bookmarkStart w:id="20" w:name="sec19"/>
      <w:r>
        <w:t>参考资料与核验范围</w:t>
      </w:r>
      <w:bookmarkEnd w:id="20"/>
    </w:p>
    <w:p>
      <w:r>
        <w:t>本文主要依据原论文、作者仓库、官方模型卡、交易所与 Freqtrade 官方文档。参考编号对应具体事实或实现接口；难度、优先级、实验矩阵与停止规则是本方案的建议，不是来源已经证实的结论。网页和 API 文档核验日期为 2026-10-07，实施时仍应按固定版本重新确认。</w:t>
      </w:r>
    </w:p>
    <w:p>
      <w:pPr>
        <w:pStyle w:val="Reference"/>
      </w:pPr>
      <w:bookmarkStart w:id="21" w:name="ref01"/>
      <w:bookmarkEnd w:id="21"/>
      <w:r>
        <w:t>[01]</w:t>
      </w:r>
      <w:r>
        <w:t xml:space="preserve"> Shi, Y. et al. Kronos: A Foundation Model for the Language of Financial Markets. arXiv:2508.02739v1，2025。重点核验附录 C、D、数据表与指标定义。 </w:t>
      </w:r>
      <w:hyperlink r:id="rId11">
        <w:r>
          <w:rPr>
            <w:color w:val="167A86"/>
            <w:rFonts w:ascii="Carlito" w:hAnsi="Carlito" w:eastAsia="Noto Sans CJK SC"/>
            <w:sz w:val="19"/>
          </w:rPr>
          <w:t>原始来源 ↗</w:t>
        </w:r>
      </w:hyperlink>
    </w:p>
    <w:p>
      <w:pPr>
        <w:pStyle w:val="Reference"/>
      </w:pPr>
      <w:bookmarkStart w:id="22" w:name="ref02"/>
      <w:bookmarkEnd w:id="22"/>
      <w:r>
        <w:t>[02]</w:t>
      </w:r>
      <w:r>
        <w:t xml:space="preserve"> shiyu-coder/Kronos，作者仓库与固定代码快照。本文引用提交 67b630e67f6a18c9e9be918d9b4337c960db1e9a。 </w:t>
      </w:r>
      <w:hyperlink r:id="rId12">
        <w:r>
          <w:rPr>
            <w:color w:val="167A86"/>
            <w:rFonts w:ascii="Carlito" w:hAnsi="Carlito" w:eastAsia="Noto Sans CJK SC"/>
            <w:sz w:val="19"/>
          </w:rPr>
          <w:t>原始来源 ↗</w:t>
        </w:r>
      </w:hyperlink>
    </w:p>
    <w:p>
      <w:pPr>
        <w:pStyle w:val="Reference"/>
      </w:pPr>
      <w:bookmarkStart w:id="23" w:name="ref03"/>
      <w:bookmarkEnd w:id="23"/>
      <w:r>
        <w:t>[03]</w:t>
      </w:r>
      <w:r>
        <w:t xml:space="preserve"> Kronos，model/kronos.py。编码器、decode_s1、Predictor、采样聚合和标准化实现。 </w:t>
      </w:r>
      <w:hyperlink r:id="rId13">
        <w:r>
          <w:rPr>
            <w:color w:val="167A86"/>
            <w:rFonts w:ascii="Carlito" w:hAnsi="Carlito" w:eastAsia="Noto Sans CJK SC"/>
            <w:sz w:val="19"/>
          </w:rPr>
          <w:t>原始来源 ↗</w:t>
        </w:r>
      </w:hyperlink>
    </w:p>
    <w:p>
      <w:pPr>
        <w:pStyle w:val="Reference"/>
      </w:pPr>
      <w:bookmarkStart w:id="24" w:name="ref04"/>
      <w:bookmarkEnd w:id="24"/>
      <w:r>
        <w:t>[04]</w:t>
      </w:r>
      <w:r>
        <w:t xml:space="preserve"> Kronos，model/module.py。时序嵌入、attention、分层嵌入与损失接口。 </w:t>
      </w:r>
      <w:hyperlink r:id="rId14">
        <w:r>
          <w:rPr>
            <w:color w:val="167A86"/>
            <w:rFonts w:ascii="Carlito" w:hAnsi="Carlito" w:eastAsia="Noto Sans CJK SC"/>
            <w:sz w:val="19"/>
          </w:rPr>
          <w:t>原始来源 ↗</w:t>
        </w:r>
      </w:hyperlink>
    </w:p>
    <w:p>
      <w:pPr>
        <w:pStyle w:val="Reference"/>
      </w:pPr>
      <w:bookmarkStart w:id="25" w:name="ref05"/>
      <w:bookmarkEnd w:id="25"/>
      <w:r>
        <w:t>[05]</w:t>
      </w:r>
      <w:r>
        <w:t xml:space="preserve"> Kronos，finetune/dataset.py。公开微调窗口构建与标准化。 </w:t>
      </w:r>
      <w:hyperlink r:id="rId15">
        <w:r>
          <w:rPr>
            <w:color w:val="167A86"/>
            <w:rFonts w:ascii="Carlito" w:hAnsi="Carlito" w:eastAsia="Noto Sans CJK SC"/>
            <w:sz w:val="19"/>
          </w:rPr>
          <w:t>原始来源 ↗</w:t>
        </w:r>
      </w:hyperlink>
    </w:p>
    <w:p>
      <w:pPr>
        <w:pStyle w:val="Reference"/>
      </w:pPr>
      <w:bookmarkStart w:id="26" w:name="ref06"/>
      <w:bookmarkEnd w:id="26"/>
      <w:r>
        <w:t>[06]</w:t>
      </w:r>
      <w:r>
        <w:t xml:space="preserve"> Kronos，finetune/train_predictor.py。tokenizer 与 predictor 分离的训练流程。 </w:t>
      </w:r>
      <w:hyperlink r:id="rId16">
        <w:r>
          <w:rPr>
            <w:color w:val="167A86"/>
            <w:rFonts w:ascii="Carlito" w:hAnsi="Carlito" w:eastAsia="Noto Sans CJK SC"/>
            <w:sz w:val="19"/>
          </w:rPr>
          <w:t>原始来源 ↗</w:t>
        </w:r>
      </w:hyperlink>
    </w:p>
    <w:p>
      <w:pPr>
        <w:pStyle w:val="Reference"/>
      </w:pPr>
      <w:bookmarkStart w:id="27" w:name="ref07"/>
      <w:bookmarkEnd w:id="27"/>
      <w:r>
        <w:t>[07]</w:t>
      </w:r>
      <w:r>
        <w:t xml:space="preserve"> Kronos PR #234，Fix data leakage in normalization window (#227)。证据范围限于该公开微调补丁。 </w:t>
      </w:r>
      <w:hyperlink r:id="rId17">
        <w:r>
          <w:rPr>
            <w:color w:val="167A86"/>
            <w:rFonts w:ascii="Carlito" w:hAnsi="Carlito" w:eastAsia="Noto Sans CJK SC"/>
            <w:sz w:val="19"/>
          </w:rPr>
          <w:t>原始来源 ↗</w:t>
        </w:r>
      </w:hyperlink>
    </w:p>
    <w:p>
      <w:pPr>
        <w:pStyle w:val="Reference"/>
      </w:pPr>
      <w:bookmarkStart w:id="28" w:name="ref08"/>
      <w:bookmarkEnd w:id="28"/>
      <w:r>
        <w:t>[08]</w:t>
      </w:r>
      <w:r>
        <w:t xml:space="preserve"> Kronos Issue #265，Clarification on training data temporal range (cutoff date) for Kronos-base。用于记录 checkpoint 来源澄清需求，不把评论者推断当作作者结论。 </w:t>
      </w:r>
      <w:hyperlink r:id="rId18">
        <w:r>
          <w:rPr>
            <w:color w:val="167A86"/>
            <w:rFonts w:ascii="Carlito" w:hAnsi="Carlito" w:eastAsia="Noto Sans CJK SC"/>
            <w:sz w:val="19"/>
          </w:rPr>
          <w:t>原始来源 ↗</w:t>
        </w:r>
      </w:hyperlink>
    </w:p>
    <w:p>
      <w:pPr>
        <w:pStyle w:val="Reference"/>
      </w:pPr>
      <w:bookmarkStart w:id="29" w:name="ref09"/>
      <w:bookmarkEnd w:id="29"/>
      <w:r>
        <w:t>[09]</w:t>
      </w:r>
      <w:r>
        <w:t xml:space="preserve"> NeoQuasar/Kronos-small，官方模型卡及模型规格。 </w:t>
      </w:r>
      <w:hyperlink r:id="rId19">
        <w:r>
          <w:rPr>
            <w:color w:val="167A86"/>
            <w:rFonts w:ascii="Carlito" w:hAnsi="Carlito" w:eastAsia="Noto Sans CJK SC"/>
            <w:sz w:val="19"/>
          </w:rPr>
          <w:t>原始来源 ↗</w:t>
        </w:r>
      </w:hyperlink>
    </w:p>
    <w:p>
      <w:pPr>
        <w:pStyle w:val="Reference"/>
      </w:pPr>
      <w:bookmarkStart w:id="30" w:name="ref10"/>
      <w:bookmarkEnd w:id="30"/>
      <w:r>
        <w:t>[10]</w:t>
      </w:r>
      <w:r>
        <w:t xml:space="preserve"> Lim, B., Zohren, S., Roberts, S. Enhancing Time Series Momentum Strategies Using Deep Neural Networks. arXiv:1904.04912。方法背景，不作为本方案 crypto 收益证据。 </w:t>
      </w:r>
      <w:hyperlink r:id="rId20">
        <w:r>
          <w:rPr>
            <w:color w:val="167A86"/>
            <w:rFonts w:ascii="Carlito" w:hAnsi="Carlito" w:eastAsia="Noto Sans CJK SC"/>
            <w:sz w:val="19"/>
          </w:rPr>
          <w:t>原始来源 ↗</w:t>
        </w:r>
      </w:hyperlink>
    </w:p>
    <w:p>
      <w:pPr>
        <w:pStyle w:val="Reference"/>
      </w:pPr>
      <w:bookmarkStart w:id="31" w:name="ref11"/>
      <w:bookmarkEnd w:id="31"/>
      <w:r>
        <w:t>[11]</w:t>
      </w:r>
      <w:r>
        <w:t xml:space="preserve"> Binance Developer Documentation，USDⓈ-M Futures，Open Interest Statistics。核验历史覆盖、字段与统计时间说明。 </w:t>
      </w:r>
      <w:hyperlink r:id="rId21">
        <w:r>
          <w:rPr>
            <w:color w:val="167A86"/>
            <w:rFonts w:ascii="Carlito" w:hAnsi="Carlito" w:eastAsia="Noto Sans CJK SC"/>
            <w:sz w:val="19"/>
          </w:rPr>
          <w:t>原始来源 ↗</w:t>
        </w:r>
      </w:hyperlink>
    </w:p>
    <w:p>
      <w:pPr>
        <w:pStyle w:val="Reference"/>
      </w:pPr>
      <w:bookmarkStart w:id="32" w:name="ref12"/>
      <w:bookmarkEnd w:id="32"/>
      <w:r>
        <w:t>[12]</w:t>
      </w:r>
      <w:r>
        <w:t xml:space="preserve"> Freqtrade Documentation，Lookahead analysis。 </w:t>
      </w:r>
      <w:hyperlink r:id="rId22">
        <w:r>
          <w:rPr>
            <w:color w:val="167A86"/>
            <w:rFonts w:ascii="Carlito" w:hAnsi="Carlito" w:eastAsia="Noto Sans CJK SC"/>
            <w:sz w:val="19"/>
          </w:rPr>
          <w:t>原始来源 ↗</w:t>
        </w:r>
      </w:hyperlink>
    </w:p>
    <w:p>
      <w:pPr>
        <w:pStyle w:val="Reference"/>
      </w:pPr>
      <w:bookmarkStart w:id="33" w:name="ref13"/>
      <w:bookmarkEnd w:id="33"/>
      <w:r>
        <w:t>[13]</w:t>
      </w:r>
      <w:r>
        <w:t xml:space="preserve"> Freqtrade Documentation，Recursive analysis。 </w:t>
      </w:r>
      <w:hyperlink r:id="rId23">
        <w:r>
          <w:rPr>
            <w:color w:val="167A86"/>
            <w:rFonts w:ascii="Carlito" w:hAnsi="Carlito" w:eastAsia="Noto Sans CJK SC"/>
            <w:sz w:val="19"/>
          </w:rPr>
          <w:t>原始来源 ↗</w:t>
        </w:r>
      </w:hyperlink>
    </w:p>
    <w:p>
      <w:pPr>
        <w:pStyle w:val="Reference"/>
      </w:pPr>
      <w:bookmarkStart w:id="34" w:name="ref14"/>
      <w:bookmarkEnd w:id="34"/>
      <w:r>
        <w:t>[14]</w:t>
      </w:r>
      <w:r>
        <w:t xml:space="preserve"> Freqtrade Documentation，Backtesting。用于确认回测假设与限制；上线前另需交易所级执行核验。 </w:t>
      </w:r>
      <w:hyperlink r:id="rId24">
        <w:r>
          <w:rPr>
            <w:color w:val="167A86"/>
            <w:rFonts w:ascii="Carlito" w:hAnsi="Carlito" w:eastAsia="Noto Sans CJK SC"/>
            <w:sz w:val="19"/>
          </w:rPr>
          <w:t>原始来源 ↗</w:t>
        </w:r>
      </w:hyperlink>
    </w:p>
    <w:p>
      <w:pPr>
        <w:pStyle w:val="Reference"/>
      </w:pPr>
      <w:bookmarkStart w:id="35" w:name="ref15"/>
      <w:bookmarkEnd w:id="35"/>
      <w:r>
        <w:t>[15]</w:t>
      </w:r>
      <w:r>
        <w:t xml:space="preserve"> Bailey, D. H., López de Prado, M. The Deflated Sharpe Ratio: Correcting for Selection Bias, Backtest Overfitting and Non-Normality. 作者公开稿。 </w:t>
      </w:r>
      <w:hyperlink r:id="rId25">
        <w:r>
          <w:rPr>
            <w:color w:val="167A86"/>
            <w:rFonts w:ascii="Carlito" w:hAnsi="Carlito" w:eastAsia="Noto Sans CJK SC"/>
            <w:sz w:val="19"/>
          </w:rPr>
          <w:t>原始来源 ↗</w:t>
        </w:r>
      </w:hyperlink>
    </w:p>
    <w:p>
      <w:pPr>
        <w:pStyle w:val="Reference"/>
      </w:pPr>
      <w:bookmarkStart w:id="36" w:name="ref16"/>
      <w:bookmarkEnd w:id="36"/>
      <w:r>
        <w:t>[16]</w:t>
      </w:r>
      <w:r>
        <w:t xml:space="preserve"> Petersen, B. K. et al. Deep symbolic regression: Recovering mathematical expressions from data via risk-seeking policy gradients. arXiv:1912.04871。用于神经引导符号搜索的方法背景。 </w:t>
      </w:r>
      <w:hyperlink r:id="rId26">
        <w:r>
          <w:rPr>
            <w:color w:val="167A86"/>
            <w:rFonts w:ascii="Carlito" w:hAnsi="Carlito" w:eastAsia="Noto Sans CJK SC"/>
            <w:sz w:val="19"/>
          </w:rPr>
          <w:t>原始来源 ↗</w:t>
        </w:r>
      </w:hyperlink>
    </w:p>
    <w:p>
      <w:pPr>
        <w:spacing w:before="120" w:after="120"/>
        <w:pBdr>
          <w:bottom w:val="single" w:sz="5" w:color="DCE5E9"/>
        </w:pBdr>
      </w:pPr>
    </w:p>
    <w:p>
      <w:r>
        <w:rPr>
          <w:b/>
        </w:rPr>
        <w:t>文档结语：先验证权重的增量价值，再改变训练分布；先改变决策目标，再改变 token 语义；先证明一个模块有用，再组合多个模块。</w:t>
      </w:r>
    </w:p>
    <w:sectPr w:rsidR="00FC693F" w:rsidRPr="0006063C" w:rsidSect="00034616">
      <w:headerReference w:type="default" r:id="rId9"/>
      <w:footerReference w:type="default" r:id="rId10"/>
      <w:pgSz w:w="11906" w:h="16838"/>
      <w:pgMar w:top="1049" w:right="1106" w:bottom="992" w:left="1106" w:header="425" w:footer="4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color w:val="546675"/>
        <w:sz w:val="16"/>
      </w:rPr>
      <w:t>2026-10-07  |  研究方案，不构成收益保证</w:t>
    </w:r>
    <w:r>
      <w:rPr>
        <w:color w:val="546675"/>
        <w:sz w:val="16"/>
      </w:rPr>
      <w:tab/>
    </w:r>
    <w:r>
      <w:rPr>
        <w:color w:val="546675"/>
        <w:sz w:val="16"/>
      </w:rPr>
      <w:fldChar w:fldCharType="begin"/>
    </w:r>
    <w:r>
      <w:rPr>
        <w:color w:val="546675"/>
        <w:sz w:val="16"/>
      </w:rPr>
      <w:instrText xml:space="preserve"> PAGE </w:instrText>
    </w:r>
    <w:r>
      <w:rPr>
        <w:color w:val="546675"/>
        <w:sz w:val="16"/>
      </w:rPr>
      <w:fldChar w:fldCharType="separate"/>
    </w:r>
    <w:r>
      <w:rPr>
        <w:color w:val="546675"/>
        <w:sz w:val="16"/>
      </w:rPr>
      <w:t>1</w:t>
    </w:r>
    <w:r>
      <w:rPr>
        <w:color w:val="546675"/>
        <w:sz w:val="16"/>
      </w:rPr>
      <w:fldChar w:fldCharType="end"/>
    </w:r>
    <w:r>
      <w:rPr>
        <w:color w:val="546675"/>
        <w:sz w:val="16"/>
      </w:rPr>
      <w:t xml:space="preserve"> / </w:t>
    </w:r>
    <w:r>
      <w:rPr>
        <w:color w:val="546675"/>
        <w:sz w:val="16"/>
      </w:rPr>
      <w:fldChar w:fldCharType="begin"/>
    </w:r>
    <w:r>
      <w:rPr>
        <w:color w:val="546675"/>
        <w:sz w:val="16"/>
      </w:rPr>
      <w:instrText xml:space="preserve"> NUMPAGES </w:instrText>
    </w:r>
    <w:r>
      <w:rPr>
        <w:color w:val="546675"/>
        <w:sz w:val="16"/>
      </w:rPr>
      <w:fldChar w:fldCharType="separate"/>
    </w:r>
    <w:r>
      <w:rPr>
        <w:color w:val="546675"/>
        <w:sz w:val="16"/>
      </w:rPr>
      <w:t>1</w:t>
    </w:r>
    <w:r>
      <w:rPr>
        <w:color w:val="54667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60"/>
      <w:pBdr>
        <w:bottom w:val="single" w:sz="5" w:color="DCE5E9"/>
      </w:pBdr>
    </w:pPr>
    <w:r>
      <w:rPr>
        <w:b/>
        <w:color w:val="546675"/>
        <w:sz w:val="17"/>
      </w:rPr>
      <w:t>KRONOS  /  CRYPTO RESEARCH</w:t>
    </w:r>
    <w:r>
      <w:rPr>
        <w:color w:val="546675"/>
        <w:sz w:val="17"/>
      </w:rPr>
      <w:tab/>
      <w:t>研究与工程路线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Font m:val="STIX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exact" w:after="100"/>
    </w:pPr>
    <w:rPr>
      <w:rFonts w:ascii="Carlito" w:hAnsi="Carlito" w:eastAsia="Noto Sans CJK SC" w:cs="Carlito"/>
      <w:b w:val="0"/>
      <w:color w:val="173444"/>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88" w:lineRule="auto"/>
      <w:outlineLvl w:val="0"/>
    </w:pPr>
    <w:rPr>
      <w:rFonts w:asciiTheme="majorHAnsi" w:eastAsiaTheme="majorEastAsia" w:hAnsiTheme="majorHAnsi" w:cstheme="majorBidi" w:ascii="Carlito" w:hAnsi="Carlito" w:eastAsia="Noto Sans CJK SC" w:cs="Carlito"/>
      <w:b/>
      <w:bCs/>
      <w:color w:val="173444"/>
      <w:sz w:val="38"/>
      <w:szCs w:val="28"/>
      <w:lang w:val="en-US" w:eastAsia="zh-CN"/>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Carlito" w:hAnsi="Carlito" w:eastAsia="Noto Sans CJK SC" w:cs="Carlito"/>
      <w:b/>
      <w:bCs/>
      <w:color w:val="173444"/>
      <w:sz w:val="25"/>
      <w:szCs w:val="26"/>
      <w:lang w:val="en-US" w:eastAsia="zh-CN"/>
    </w:rPr>
  </w:style>
  <w:style w:type="paragraph" w:styleId="Heading3">
    <w:name w:val="heading 3"/>
    <w:basedOn w:val="Normal"/>
    <w:next w:val="Normal"/>
    <w:link w:val="Heading3Char"/>
    <w:uiPriority w:val="9"/>
    <w:unhideWhenUsed/>
    <w:qFormat/>
    <w:rsid w:val="00FC693F"/>
    <w:pPr>
      <w:keepNext/>
      <w:keepLines/>
      <w:spacing w:before="200" w:after="140" w:line="288" w:lineRule="auto"/>
      <w:outlineLvl w:val="2"/>
    </w:pPr>
    <w:rPr>
      <w:rFonts w:asciiTheme="majorHAnsi" w:eastAsiaTheme="majorEastAsia" w:hAnsiTheme="majorHAnsi" w:cstheme="majorBidi" w:ascii="Carlito" w:hAnsi="Carlito" w:eastAsia="Noto Sans CJK SC" w:cs="Carlito"/>
      <w:b/>
      <w:bCs/>
      <w:color w:val="173444"/>
      <w:sz w:val="22"/>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88" w:lineRule="auto" w:before="200"/>
      <w:contextualSpacing/>
    </w:pPr>
    <w:rPr>
      <w:rFonts w:asciiTheme="majorHAnsi" w:eastAsiaTheme="majorEastAsia" w:hAnsiTheme="majorHAnsi" w:cstheme="majorBidi" w:ascii="Carlito" w:hAnsi="Carlito" w:eastAsia="Noto Sans CJK SC" w:cs="Carlito"/>
      <w:b/>
      <w:color w:val="173444"/>
      <w:spacing w:val="5"/>
      <w:kern w:val="28"/>
      <w:sz w:val="64"/>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0" w:lineRule="exact" w:after="80"/>
    </w:pPr>
    <w:rPr>
      <w:rFonts w:ascii="Carlito" w:hAnsi="Carlito" w:eastAsia="Noto Sans CJK SC" w:cs="Carlito"/>
      <w:b w:val="0"/>
      <w:bCs/>
      <w:color w:val="546675"/>
      <w:sz w:val="18"/>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64" w:lineRule="exact" w:after="30"/>
    </w:pPr>
    <w:rPr>
      <w:rFonts w:ascii="Carlito" w:hAnsi="Carlito" w:eastAsia="Noto Sans CJK SC" w:cs="Carlito"/>
      <w:b w:val="0"/>
      <w:color w:val="173444"/>
      <w:sz w:val="18"/>
      <w:lang w:val="en-US" w:eastAsia="zh-CN"/>
    </w:rPr>
  </w:style>
  <w:style w:type="paragraph" w:customStyle="1" w:styleId="Reference">
    <w:name w:val="Reference"/>
    <w:pPr>
      <w:keepLines/>
      <w:spacing w:line="264" w:lineRule="exact" w:after="80"/>
    </w:pPr>
    <w:rPr>
      <w:rFonts w:ascii="Carlito" w:hAnsi="Carlito" w:eastAsia="Noto Sans CJK SC" w:cs="Carlito"/>
      <w:b w:val="0"/>
      <w:color w:val="546675"/>
      <w:sz w:val="18"/>
      <w:lang w:val="en-US" w:eastAsia="zh-CN"/>
    </w:rPr>
  </w:style>
  <w:style w:type="paragraph" w:customStyle="1" w:styleId="CodeBlock">
    <w:name w:val="Code Block"/>
    <w:pPr>
      <w:spacing w:line="264" w:lineRule="exact" w:after="0"/>
      <w:ind w:left="147" w:right="68"/>
    </w:pPr>
    <w:rPr>
      <w:rFonts w:ascii="DejaVu Sans Mono" w:hAnsi="DejaVu Sans Mono" w:eastAsia="Noto Sans CJK SC" w:cs="DejaVu Sans Mono"/>
      <w:b w:val="0"/>
      <w:color w:val="173444"/>
      <w:sz w:val="17"/>
      <w:lang w:val="en-US" w:eastAsia="zh-CN"/>
    </w:rPr>
  </w:style>
  <w:style w:type="paragraph" w:customStyle="1" w:styleId="Callout">
    <w:name w:val="Callout"/>
    <w:pPr>
      <w:spacing w:line="320" w:lineRule="exact" w:after="160" w:before="100"/>
      <w:ind w:left="181"/>
    </w:pPr>
    <w:rPr>
      <w:rFonts w:ascii="Carlito" w:hAnsi="Carlito" w:eastAsia="Noto Sans CJK SC" w:cs="Carlito"/>
      <w:b w:val="0"/>
      <w:color w:val="173444"/>
      <w:sz w:val="20"/>
      <w:lang w:val="en-US" w:eastAsia="zh-CN"/>
    </w:rPr>
  </w:style>
  <w:style w:type="paragraph" w:customStyle="1" w:styleId="TOCEntry">
    <w:name w:val="TOC Entry"/>
    <w:pPr>
      <w:spacing w:line="360" w:lineRule="exact" w:after="110"/>
    </w:pPr>
    <w:rPr>
      <w:rFonts w:ascii="Carlito" w:hAnsi="Carlito" w:eastAsia="Noto Sans CJK SC" w:cs="Carlito"/>
      <w:b w:val="0"/>
      <w:color w:val="173444"/>
      <w:sz w:val="20"/>
      <w:lang w:val="en-US" w:eastAsia="zh-CN"/>
    </w:rPr>
  </w:style>
  <w:style w:type="paragraph" w:customStyle="1" w:styleId="Small">
    <w:name w:val="Small"/>
    <w:pPr>
      <w:spacing w:line="320" w:lineRule="exact" w:after="80"/>
    </w:pPr>
    <w:rPr>
      <w:rFonts w:ascii="Carlito" w:hAnsi="Carlito" w:eastAsia="Noto Sans CJK SC" w:cs="Carlito"/>
      <w:b w:val="0"/>
      <w:color w:val="546675"/>
      <w:sz w:val="18"/>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html/2508.02739v1" TargetMode="External"/><Relationship Id="rId12" Type="http://schemas.openxmlformats.org/officeDocument/2006/relationships/hyperlink" Target="https://github.com/shiyu-coder/Kronos/tree/67b630e67f6a18c9e9be918d9b4337c960db1e9a" TargetMode="External"/><Relationship Id="rId13" Type="http://schemas.openxmlformats.org/officeDocument/2006/relationships/hyperlink" Target="https://github.com/shiyu-coder/Kronos/blob/67b630e67f6a18c9e9be918d9b4337c960db1e9a/model/kronos.py" TargetMode="External"/><Relationship Id="rId14" Type="http://schemas.openxmlformats.org/officeDocument/2006/relationships/hyperlink" Target="https://github.com/shiyu-coder/Kronos/blob/67b630e67f6a18c9e9be918d9b4337c960db1e9a/model/module.py" TargetMode="External"/><Relationship Id="rId15" Type="http://schemas.openxmlformats.org/officeDocument/2006/relationships/hyperlink" Target="https://github.com/shiyu-coder/Kronos/blob/67b630e67f6a18c9e9be918d9b4337c960db1e9a/finetune/dataset.py" TargetMode="External"/><Relationship Id="rId16" Type="http://schemas.openxmlformats.org/officeDocument/2006/relationships/hyperlink" Target="https://github.com/shiyu-coder/Kronos/blob/67b630e67f6a18c9e9be918d9b4337c960db1e9a/finetune/train_predictor.py" TargetMode="External"/><Relationship Id="rId17" Type="http://schemas.openxmlformats.org/officeDocument/2006/relationships/hyperlink" Target="https://github.com/shiyu-coder/Kronos/pull/234" TargetMode="External"/><Relationship Id="rId18" Type="http://schemas.openxmlformats.org/officeDocument/2006/relationships/hyperlink" Target="https://github.com/shiyu-coder/Kronos/issues/265" TargetMode="External"/><Relationship Id="rId19" Type="http://schemas.openxmlformats.org/officeDocument/2006/relationships/hyperlink" Target="https://huggingface.co/NeoQuasar/Kronos-small" TargetMode="External"/><Relationship Id="rId20" Type="http://schemas.openxmlformats.org/officeDocument/2006/relationships/hyperlink" Target="https://arxiv.org/abs/1904.04912" TargetMode="External"/><Relationship Id="rId21" Type="http://schemas.openxmlformats.org/officeDocument/2006/relationships/hyperlink" Target="https://developers.binance.com/docs/derivatives/usds-margined-futures/market-data/rest-api/Open-Interest-Statistics" TargetMode="External"/><Relationship Id="rId22" Type="http://schemas.openxmlformats.org/officeDocument/2006/relationships/hyperlink" Target="https://www.freqtrade.io/en/stable/lookahead-analysis/" TargetMode="External"/><Relationship Id="rId23" Type="http://schemas.openxmlformats.org/officeDocument/2006/relationships/hyperlink" Target="https://www.freqtrade.io/en/stable/recursive-analysis/" TargetMode="External"/><Relationship Id="rId24" Type="http://schemas.openxmlformats.org/officeDocument/2006/relationships/hyperlink" Target="https://www.freqtrade.io/en/stable/backtesting/" TargetMode="External"/><Relationship Id="rId25" Type="http://schemas.openxmlformats.org/officeDocument/2006/relationships/hyperlink" Target="https://www.davidhbailey.com/dhbpapers/deflated-sharpe.pdf" TargetMode="External"/><Relationship Id="rId26" Type="http://schemas.openxmlformats.org/officeDocument/2006/relationships/hyperlink" Target="https://arxiv.org/abs/1912.048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Kronos 在 Crypto 量化中的改进研究与工程路线</dc:title>
  <dc:subject>研究价值、工程难度、实施方法、对照实验与验证规范</dc:subject>
  <dc:creator/>
  <cp:keywords>Kronos, crypto, 表征学习, 动量, 神经符号, Freqtrade, 实验设计</cp:keywords>
  <dc:description/>
  <cp:lastModifiedBy/>
  <cp:revision>1</cp:revision>
  <dcterms:created xsi:type="dcterms:W3CDTF">2013-12-23T23:15:00Z</dcterms:created>
  <dcterms:modified xsi:type="dcterms:W3CDTF">2013-12-23T23:15:00Z</dcterms:modified>
  <cp:category/>
</cp:coreProperties>
</file>