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4 问题一：场景 A 下的多核切图与调度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场景 A 中，一个子图对应一个 Task；跨子图的数据由 DDR 周转。给定算子—张量有向无环图和核心数，问题一需要确定算子到子图的归属、子图到核心的分配，以及每个核心的子图执行顺序。本文以官方评测所得总完成时间为首要目标，并记录总附加数据搬运量，以反映切分边界和调度顺序带来的通信代价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4.1 图收缩、评价指标与符号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先按题目给定的合法性规则校验输入图，排除原始 COPY_IN、COPY_OUT 搬运算子，并收缩穿过这些算子的依赖路径，得到可划分计算算子的有向无环图。张量仍保留其标识、字节数及生产者—消费者关系，用于计算跨子图通信。每个可划分算子必须且只能落在一个子图内；子图之间的依赖与每个核心上的执行序列必须保持拓扑合法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表1 问题一主要符号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953"/>
        <w:gridCol w:w="1701"/>
      </w:tblGrid>
      <w:tr>
        <w:trPr>
          <w:tblHeader w:val="true"/>
        </w:trPr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5953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G=(V,E)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收缩后的计算算子依赖图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k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 NPU 核心数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ℓ</m:t>
              </m:r>
              <m:r>
                <m:t>(v)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算子 v 的依赖层号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第 l 层用于窗口切分的双管线权重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由相邻完整依赖层形成的第 j 个窗口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S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一个合法子图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p(S)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的双流水线代理工作量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b(S,T)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商图边 S→T 的去重通信数据量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r(S)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的通信加权上行秩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 Makespan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核方案的官方附加搬运量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核相对于单核的加速比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单核基准由官方评测得到。逐例加速比定义为同一案例单核完成时间与相应多核完成时间之比，再对 100 个案例取算术平均；这与先平均时间再取比值不同。总附加搬运量直接使用官方评测给出的字节数。</w:t>
      </w:r>
    </w:p>
    <w:p>
      <w:pPr>
        <w:spacing w:line="240" w:lineRule="auto" w:before="0" w:after="40"/>
        <w:jc w:val="center"/>
      </w:pPr>
      <m:oMathPara>
        <m:oMath>
          <m:sSub>
            <m:e>
              <m:acc>
                <m:accPr>
                  <m:chr m:val="̅"/>
                </m:accPr>
                <m:e>
                  <m:r>
                    <m:t>s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num>
              <m:r>
                <m:t>1</m:t>
              </m:r>
            </m:num>
            <m:den>
              <m:r>
                <m:t>100</m:t>
              </m:r>
            </m:den>
          </m:f>
          <m:sSubSup>
            <m:e>
              <m:r>
                <m:t>∑</m:t>
              </m:r>
            </m:e>
            <m:sub>
              <m:r>
                <m:t>i=1</m:t>
              </m:r>
            </m:sub>
            <m:sup>
              <m:r>
                <m:t>100</m:t>
              </m:r>
            </m:sup>
          </m:sSubSup>
          <m:f>
            <m:num>
              <m:sSub>
                <m:e>
                  <m:r>
                    <m:t>T</m:t>
                  </m:r>
                </m:e>
                <m:sub>
                  <m:r>
                    <m:t>i,1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（1）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4.2 对照切图与共用调度器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为了辨别结构切图的作用，设置两个确定性对照。B0 对合法拓扑序按算子工作量切成约 4k 个连续片段，代表只考虑顺序和粗粒度均衡的基本方案。B1 在 Kahn 拓扑构造中形成约 4k 个块：每块先选逆向关键路径优先级最高的就绪算子，随后优先选择与当前块共享张量字节最多的就绪算子，再以关键路径优先级和算子编号打破并列。B0、B1 均保持图的依赖合法性。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三种切图统一进入同一商图调度器。对每个子图，以 Cube 对应的 M 管线周期和 Vector 对应的 V 管线周期之较大值作为计算时间代理；商图边的通信量对同一边上的张量 ID 去重，再计入直接算子依赖携带的字节。调度器据此计算通信加权的逆向上行秩，从就绪子图中选秩最高者，为其尝试每个核心并选择预计最早完成的核心。该“上行秩—最早完成时间”框架借鉴 HEFT [1]，本文仅将其任务粒度和成本模型改造到场景 A 的子图商图；它不是本文独立提出的调度原理。</w:t>
      </w:r>
    </w:p>
    <w:p>
      <w:pPr>
        <w:spacing w:line="240" w:lineRule="auto" w:before="0" w:after="40"/>
        <w:jc w:val="center"/>
      </w:pPr>
      <m:oMathPara>
        <m:oMath>
          <m:r>
            <m:t>p(S)=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（2）</w:t>
      </w:r>
    </w:p>
    <w:p>
      <w:pPr>
        <w:spacing w:line="240" w:lineRule="auto" w:before="0" w:after="40"/>
        <w:jc w:val="center"/>
      </w:pPr>
      <m:oMathPara>
        <m:oMath>
          <m:r>
            <m:t>r(S)=p(S)+</m:t>
          </m:r>
          <m:sSub>
            <m:e>
              <m:r>
                <m:t>max</m:t>
              </m:r>
            </m:e>
            <m:sub>
              <m:r>
                <m:t>T</m:t>
              </m:r>
              <m:r>
                <m:t>∈</m:t>
              </m:r>
              <m:r>
                <m:t xml:space="preserve"> succ(S)</m:t>
              </m:r>
            </m:sub>
          </m:sSub>
          <m:r>
            <m:t>(</m:t>
          </m:r>
          <m:f>
            <m:num>
              <m:r>
                <m:t>b(S,T)</m:t>
              </m:r>
            </m:num>
            <m:den>
              <m:r>
                <m:t>60</m:t>
              </m:r>
            </m:den>
          </m:f>
          <m:r>
            <m:t>+r(T))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（3）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式（3）中的 60 byte/cycle 是候选构造阶段的通信时间代理。对候选核心，最早开始时间取核心可用时间和所有前驱完成后同步、传输时间的最大值；同核与跨核等待代理分别为 100 与 1000 cycle，再加子图工作量代理得到预计完成时间。以上代理仅负责生成候选，不替代官方多核仿真；本文所有结果表的 Makespan 均来自官方评测。</w:t>
      </w:r>
    </w:p>
    <w:p>
      <w:pPr>
        <w:spacing w:line="240" w:lineRule="auto" w:before="0" w:after="40"/>
        <w:jc w:val="center"/>
      </w:pPr>
      <m:oMathPara>
        <m:oMath>
          <m:r>
            <m:t>EFT(S,c)=EST(S,c)+p(S)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（4）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4.3 完整依赖层窗口与分支保持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B2A 首先给算子标记依赖层：源算子为第 0 层，其余算子的层号比所有直接前驱的最大层号大 1。由于任一依赖边都指向更高层，按完整层切分不会把同层算子误认为前后依赖。实现对每层分别求 M、V 管线周期和，取两者较大值作为该层的切分权重，再按累计权重形成连续、非空的工作量均衡窗口。窗口数在 4、8、16 三个预设值中生成候选。</w:t>
      </w:r>
    </w:p>
    <w:p>
      <w:pPr>
        <w:spacing w:line="240" w:lineRule="auto" w:before="0" w:after="40"/>
        <w:jc w:val="center"/>
      </w:pPr>
      <m:oMathPara>
        <m:oMath>
          <m:r>
            <m:t>ℓ</m:t>
          </m:r>
          <m:r>
            <m:t>(v)=1+</m:t>
          </m:r>
          <m:sSub>
            <m:e>
              <m:r>
                <m:t>max</m:t>
              </m:r>
            </m:e>
            <m:sub>
              <m:r>
                <m:t>u</m:t>
              </m:r>
              <m:r>
                <m:t>∈</m:t>
              </m:r>
              <m:r>
                <m:t xml:space="preserve"> pred(v)</m:t>
              </m:r>
            </m:sub>
          </m:sSub>
          <m:r>
            <m:t>ℓ</m:t>
          </m:r>
          <m:r>
            <m:t>(u)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（5）</w:t>
      </w:r>
    </w:p>
    <w:p>
      <w:pPr>
        <w:spacing w:line="240" w:lineRule="auto" w:before="0" w:after="40"/>
        <w:jc w:val="center"/>
      </w:pPr>
      <m:oMathPara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（6）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式（6）的逐层权重用于决定窗口边界；形成窗口后才另计算该窗口 M、V 管线周期总和的较大值作为窗口负载。两者一般不相等。每个窗口内部再忽略边的方向，只在窗口内的依赖边上寻找弱连通分支。分支内部已有依赖链，保留整条分支可避免任意切断同一局部分支；不同弱连通分支之间没有窗口内依赖边，因而可以按通信和负载进一步归组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4.4 边界张量感知打包与通信加权商图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对每个弱连通分支，统计其 M、V 管线工作量和跨出分支的前驱、后继张量 ID 集。窗口内若分支数量不超过 2k，则各分支独立成组；否则保留负载较大的 2k 个分支作为锚点，只把余下的小分支附到锚点组。选择附着位置时，先最大化共享前驱边界张量字节，再最大化共享后继边界张量字节，最后选择打包后双管线代理负载较小的组。这一字典序规则使局部张量接口与负载同时参与切图，且不拆开已识别出的弱连通分支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把每组视为一个子图后，构造商图：若原算子依赖跨组，则在对应子图之间连边。对同一商图边的张量按 ID 去重后求字节量，并加上直接算子依赖的携带量，得到 b(S,T)。式（3）使关键路径优先级包含预计的通信压力。排序后的就绪子图交由 4.2 节的共用 EFT 分核器处理，从而把 B2A 与 B0、B1 的比较集中在切图结构及由其形成的商图差异。程序还检查算子覆盖唯一性、窗口顺序和组间依赖，防止产生非法子图。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4.5 官方评测择优与低核数方案继承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每个案例在 2—5 核分别生成 Single、B0、B1、B2A 的 4/8/16 窗口共六类候选。相同的正式方案经规范化后去重；有效方案均交由官方场景 A 评测。候选先比较 Makespan，再以附加搬运字节数打破并列，最后使用固定候选顺序保证选择可复现。单核方案单独作为 k=1 基准。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由于增加核心数并不必然使重新切图后的方案更优，对 3—5 核还考察较低核数已经胜出的方案。继承时保留原算子到子图的映射及已有核心的任务顺序，只在目标核心数之后追加空核心序列；继承方案仍须重新进行合法性检查与官方评测。仅当其官方 Makespan 更小，或相同 Makespan 下附加搬运更少时，才替换当前方案。这样得到的改进应归因于候选继承与重新评测，不能混记为 B2A 切图单独带来的增益。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4.6 实验结果与分析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对同一批 100 张输入图，1—5 核共有 500 个案例—核数组合，最终结果均由官方评测给出。输入图算子数从 766 到 38,666；原始 400 个多核组合均成功产出有效方案。表2给出最终方案的平均加速比、平均 Makespan 与平均附加搬运量，图1直观呈现加速比随核数变化的趋势。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表2 问题一最终官方评测汇总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Makespan/cycle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平均附加搬运量/byte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3,124,793.73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12,416,861.20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1.6334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1,779,299.10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17,221,194.10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1,312,756.04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18,942,739.98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1,045,692.98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16,309,353.82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916,696.55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15,306,429.98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blem1_average_speed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 1—5 核平均加速比：最终方案与继承回退前的对照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从表2和图1可见，平均加速比在 2、3、4、5 核时分别为 1.6334、2.1050、2.5698、2.8905。平均值随核心数增加，但增量逐步受图依赖、跨子图数据周转及核心利用情况共同制约；图1本身只能显示结果趋势，不能单独量化各因素的因果贡献。图2进一步给出每个核心数下 100 个逐例加速比及其分布，表明同一核数下不同计算图的收益并不一致。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31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blem1_case_speedup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图2 2—5 核逐例加速比分布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在原始六类候选的 400 个多核组合中，B2A 三种窗口候选被选中 245 次；加入继承回退后的最终方案中，该计数为 220 次。被选中频次说明结构切图在此候选池中具有实际作用，但它并非单独的消融实验；所有候选共用 EFT 调度，且继承候选会改变终选方法的标签。因此本文不以该频次推断 B2A 的独立因果增益。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表3 继承回退的官方实测效果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严格改善组数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回退前均值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均值增量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2.1001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0.0049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2.5409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0.0288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2.8091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0.0814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继承回退在 3、4、5 核分别严格缩短 3、9、24 个案例的 Makespan；对各核数全部 100 个案例求均值，平均加速比分别提高约 0.0049、0.0288、0.0814。36 个严格改善组合中，33 个组合的附加搬运量同时下降，其余 3 个持平。图3列出全部严格改善组合的时间降幅和搬运变化；例如 case_044 在 5 核时 Makespan 从 154,407 降为 87,589 cycle，附加搬运从 4,438,112 降为 2,915,104 byte。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58109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blem1_inherited_fallback_improve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810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图3 继承回退带来的 36 个严格改善组合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关于求解耗时，400 个原始多核记录中有 352 个标为本轮执行，其记录的总墙钟时间中位数为 13.572 秒；另外 48 个组采纳了先前开发阶段的记录。两类记录的运行来源不同，因此不合并为统一冷启动速度指标。上述有效性和性能结论均限于本题提供的 100 张计算图、固定配置及官方评测规则；B2A 窗口数和打包上限也来自本次固定候选设计，尚不能据此推断任意图规模下的最优参数。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A 问题一逐例结果与复现说明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A1 与表 A2 分别列出同一 100 个案例在 1—5 核下的官方最终 Makespan 和总附加数据搬运量。两表与正文表2、图1—3使用同一批最终实测结果；加速比可由对应行的单核 Makespan 除以该核数 Makespan 复算。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A1 100 个案例的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233,110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118,572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602,212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407,386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330,665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309,465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392,357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249,175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173,560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116,154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61,582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82,837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54,493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41,337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1,012,562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620,166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328,001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208,922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487,605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166,440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126,466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153,261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103,393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100,723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98,845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86,969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66,374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47,147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44,496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40,860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184,697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32,790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263,949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166,316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70,094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17,698,626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11,873,679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8,687,186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8,237,041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6,890,740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177,362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113,380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97,318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78,844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162,810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62,170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1,004,367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613,121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467,483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393,004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323,742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39,913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24,792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532,746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267,708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179,492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6,567,937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3,102,580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2,822,635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1,557,596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1,249,504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52,621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43,979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43,602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4,863,026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2,969,082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2,051,388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1,562,605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979,918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99,203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64,735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2,363,952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1,119,508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750,886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43,836,040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20,389,484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13,744,872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10,285,826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8,251,690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2,808,034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2,200,787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1,723,596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1,414,369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866,386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583,325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481,753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1,774,196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1,086,331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724,891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842,996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596,520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381,731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363,718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169,571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106,131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99,355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98,103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97,043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931,510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467,772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390,499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236,236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190,308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133,437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91,873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70,758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1,364,555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1,008,722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795,870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754,961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737,342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1,435,262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870,099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702,273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537,968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147,941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127,075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119,987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6,003,957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3,673,618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3,425,567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2,164,802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2,012,046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1,686,740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1,007,984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756,202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623,840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565,621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677,656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349,722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237,206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154,407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125,614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44,141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36,900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276,455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326,508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253,283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213,351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176,165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119,670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106,993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149,690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75,193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64,330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180,301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82,250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72,062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1,472,686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765,799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588,970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815,051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517,697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440,388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309,877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118,835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52,781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277,285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210,518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182,132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164,272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160,648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59,726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35,529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26,476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4,539,717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3,875,932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972,688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829,473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888,789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552,794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427,246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388,078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331,141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77,191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42,307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41,145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40,974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2,854,809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1,640,007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1,192,564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895,100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718,658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1,070,397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617,043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448,490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338,258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271,928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19,116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17,926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23,966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22,977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359,070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144,846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128,719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63,834,834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32,108,755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21,639,488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16,587,795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13,419,797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362,095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228,701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187,358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171,172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170,197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117,300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55,893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50,978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46,898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14,761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23,897,828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15,845,126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7,571,188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7,359,577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10,081,626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5,287,173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4,360,653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3,484,122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3,143,181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1,682,239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1,056,450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693,574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568,390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491,359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1,441,809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1,011,157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952,515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818,188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773,824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6,185,113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4,643,593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3,515,382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3,048,404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2,141,370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495,320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302,526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188,985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166,614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2,296,143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1,080,972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632,100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561,557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31,052,251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15,450,384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10,180,207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292,138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66,182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721,041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457,211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264,804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1,057,993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472,408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341,275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287,302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277,053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2,507,412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1,257,025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836,541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630,754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505,173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3,187,899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2,379,485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2,140,299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2,011,650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1,881,266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118,403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91,416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3,974,071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2,242,785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1,591,733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1,387,347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1,221,168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243,623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158,945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123,889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112,669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107,912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348,428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239,513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193,916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168,448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1,178,363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533,220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432,618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9,186,769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5,650,577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4,742,807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4,138,533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3,077,910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4,815,554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1,425,631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1,116,964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897,210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74,205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47,547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33,714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55,265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29,604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2,084,853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1,043,006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697,770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527,479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424,998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84,194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42,878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41,212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11,491,509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5,156,692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4,316,892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177,430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94,609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1,622,999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1,599,503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789,639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658,914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551,115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151,223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76,975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75,870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A2 100 个案例的附加搬运量（byte）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205,824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281,088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264,192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4,211,938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5,083,146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5,901,106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6,110,028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2,165,760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2,439,168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2,715,648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3,072,000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2,360,386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1,758,192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1,802,168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2,033,768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849,150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4,403,712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4,486,656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4,580,352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671,232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442,368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667,008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505,458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554,610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2,157,712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680,338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713,736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1,129,212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290,816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360,448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71,010,720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265,001,472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266,032,656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3,050,540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3,214,384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3,345,456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3,443,760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22,528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2,032,660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2,149,396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936,404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1,040,000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1,042,592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378,136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4,501,504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6,656,000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72,744,960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9,523,200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8,908,800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1,782,584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1,791,800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1,840,952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1,890,104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20,616,192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20,699,136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20,795,904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694,272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2,249,880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2,323,608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2,324,760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1,166,722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1,400,832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3,317,760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4,620,288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277,412,256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48,190,464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52,442,112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56,736,768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61,025,280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270,490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5,519,360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3,491,328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5,059,588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17,801,292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17,828,940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17,856,588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4,592,640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6,924,292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9,530,372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1,079,832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15,060,596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15,069,812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525,204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529,812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1,595,392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1,978,368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2,191,360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1,925,120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5,627,904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22,607,872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22,706,176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10,424,836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11,362,820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7,929,856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13,533,184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15,388,672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16,969,728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18,665,472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847,184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871,760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920,912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30,898,176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21,554,184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106,948,624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28,938,252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31,777,808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6,629,376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19,385,376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19,459,104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19,532,832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19,606,560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49,160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2,549,426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5,690,482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4,438,112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466,944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450,560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3,176,288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3,151,648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1,518,112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1,747,908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1,801,306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1,828,066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650,944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1,434,798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2,958,270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1,570,092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3,030,208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2,499,756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2,598,792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2,694,180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2,744,404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726,294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2,746,432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2,801,728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2,857,024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5,405,536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3,596,396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5,521,516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6,563,522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6,895,214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7,141,466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7,332,666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1,977,060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2,001,636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2,018,020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894,358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2,913,858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3,267,474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1,124,990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1,137,280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1,153,668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1,165,960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28,696,576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122,425,344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39,665,664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1,691,648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2,068,520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5,445,690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6,721,662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7,163,986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8,007,770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50,250,240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247,296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431,616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529,920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18,823,680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287,232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364,032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57,174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57,242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855,724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300,856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890,544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916,148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2,295,066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2,372,426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2,445,690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264,449,408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219,499,648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220,745,600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221,991,552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221,533,568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3,252,326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3,255,914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3,259,502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3,266,674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1,886,666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1,984,970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2,083,274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954,568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321,038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108,613,680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261,688,546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233,614,562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141,570,432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137,754,240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137,655,680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111,917,696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114,050,432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6,070,280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18,104,624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14,942,512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14,958,896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14,975,280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3,980,862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4,172,888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4,173,144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28,280,832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47,734,784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49,615,880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52,178,944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54,043,652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3,259,766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4,638,158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4,667,094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4,697,690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12,644,568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15,039,360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14,693,376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15,432,576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15,580,032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32,448,512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34,050,048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35,033,088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548,864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6,930,432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811,530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807,488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3,894,114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4,377,220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4,443,548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4,552,362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13,934,688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4,187,936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7,032,800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8,893,600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10,754,400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29,776,896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101,376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92,160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9,492,140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10,641,880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11,791,620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12,096,030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2,978,098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3,269,108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7,902,720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35,818,216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37,435,656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2,658,980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2,809,516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2,964,660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3,010,236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1,671,040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2,832,000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3,711,872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3,029,120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21,233,592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7,339,008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11,635,968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53,947,008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38,405,256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48,851,592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66,000,096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9,549,600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15,557,600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17,418,400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19,279,200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200,704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418,824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1,612,308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759,080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831,012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1,193,744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1,267,472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1,341,200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10,584,064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11,927,552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84,934,656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5,484,544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10,176,000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16,063,104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16,128,640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16,194,176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2,442,608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2,516,336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2,590,064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2,663,792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问题一的求解入口为 run_problem1_full.py，低核数方案继承入口为 run_problem1_inherited_fallback.py；二者依赖 solver_problem1.py、candidate_manager_problem1.py 及 code 目录下的官方场景 A 校验与评测模块。输入位于 data/case_001.json 至 data/case_100.json，固定配置为 data/config.txt。结果整理脚本 artifacts/problem1_paper_figures/scripts/prepare_problem1_paper_data.py 从最终和回退前的五张结果表生成正文图数据与附录宽表。复现时应为新实验指定独立输出目录；继承回退的 artifact-root 参数指向实验基目录，full-root 参数可直接指定完整实验目录，候选计划与评测缓存目录按实际路径传入。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参考文献：[1] TOPCUOGLU H, HARIRI S, WU M Y. Performance-effective and low-complexity task scheduling for heterogeneous computing[J]. IEEE Transactions on Parallel and Distributed Systems, 2002, 13(3): 260–274. DOI: 10.1109/71.993206.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32910" w14:textId="77777777" w:rsidR="00C64D92" w:rsidRDefault="00C64D92">
      <w:r>
        <w:separator/>
      </w:r>
    </w:p>
  </w:endnote>
  <w:endnote w:type="continuationSeparator" w:id="0">
    <w:p w14:paraId="597333D7" w14:textId="77777777" w:rsidR="00C64D92" w:rsidRDefault="00C64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FA1DD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99B2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8B71" w14:textId="77777777" w:rsidR="00C64D92" w:rsidRDefault="00C64D92">
      <w:r>
        <w:separator/>
      </w:r>
    </w:p>
  </w:footnote>
  <w:footnote w:type="continuationSeparator" w:id="0">
    <w:p w14:paraId="69ECAC7C" w14:textId="77777777" w:rsidR="00C64D92" w:rsidRDefault="00C64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4D92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D72D7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57D246"/>
  <w15:chartTrackingRefBased/>
  <w15:docId w15:val="{431DF8D8-848C-48BE-84A5-148C02BD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 w:eastAsia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14" Type="http://schemas.openxmlformats.org/officeDocument/2006/relationships/theme" Target="theme/theme1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cp:lastModifiedBy>bs445</cp:lastModifiedBy>
  <cp:revision>2</cp:revision>
  <cp:lastPrinted>2023-09-12T00:52:00Z</cp:lastPrinted>
  <dcterms:created xsi:type="dcterms:W3CDTF">2026-09-24T11:02:00Z</dcterms:created>
  <dcterms:modified xsi:type="dcterms:W3CDTF">2026-09-24T11:02:00Z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