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3A797" w14:textId="77777777">
      <w:pPr>
        <w:pStyle w:val="Rubrik"/>
        <w:widowControl/>
        <w:spacing w:before="600"/>
        <w:jc w:val="center"/>
      </w:pPr>
      <w:r>
        <w:rPr/>
        <w:t>Master 2000 technical report</w:t>
      </w:r>
    </w:p>
    <w:p w14:paraId="25F10EC5" w14:textId="77777777">
      <w:pPr>
        <w:pStyle w:val="Subtitle2"/>
        <w:widowControl/>
        <w:jc w:val="center"/>
      </w:pPr>
      <w:r>
        <w:rPr/>
        <w:t>Technical report and project principles for reconstructing and preserving historical sound recordings</w:t>
      </w:r>
    </w:p>
    <w:p w14:paraId="2BD056E9" w14:textId="77777777">
      <w:pPr>
        <w:widowControl/>
        <w:jc w:val="center"/>
      </w:pPr>
      <w:r>
        <w:rPr/>
        <w:t>Report version 0.6  •  14 October 2026  •  Master-2000 v0.3.3 build 4</w:t>
      </w:r>
    </w:p>
    <w:p w14:paraId="72A2FD16" w14:textId="77777777">
      <w:pPr>
        <w:widowControl/>
      </w:pPr>
    </w:p>
    <w:p w14:paraId="71D42A07" w14:textId="77777777">
      <w:pPr>
        <w:widowControl/>
        <w:jc w:val="center"/>
      </w:pPr>
      <w:r>
        <w:rPr/>
        <w:t>Current method and documented limitations</w:t>
      </w:r>
    </w:p>
    <w:p w14:paraId="735D4441" w14:textId="77777777">
      <w:pPr>
        <w:widowControl/>
      </w:pPr>
    </w:p>
    <w:p w14:paraId="5C10593D" w14:textId="77777777">
      <w:pPr>
        <w:widowControl/>
        <w:jc w:val="center"/>
      </w:pPr>
      <w:r>
        <w:rPr/>
        <w:t>Master-2000 is a project for preserving historical sound recordings. This report describes the current local Windows version, its verification principles and limitations, and recommended minimum specifications for new transfers. The aim is to improve surviving recordings with traceable audio from multiple independent copies. Recommendations are general and do not describe any individual user's equipment.</w:t>
      </w:r>
    </w:p>
    <w:p w14:paraId="7A3C5B17" w14:textId="77777777">
      <w:pPr>
        <w:widowControl/>
      </w:pPr>
      <w:r>
        <w:rPr>
          <w:color w:val="000000"/>
        </w:rPr>
        <w:br w:type="page"/>
      </w:r>
    </w:p>
    <w:p w14:paraId="787F6AB4" w14:textId="77777777">
      <w:pPr>
        <w:pStyle w:val="Rubrik1"/>
        <w:keepNext/>
        <w:widowControl/>
      </w:pPr>
      <w:r>
        <w:rPr/>
        <w:t>1 Summary</w:t>
      </w:r>
    </w:p>
    <w:p w14:paraId="4B2D6437" w14:textId="77777777">
      <w:pPr>
        <w:widowControl/>
      </w:pPr>
      <w:r>
        <w:rPr/>
        <w:t>Historical 78 RPM records and other analogue sound carriers contain both the original recording and defects acquired by the individual copy. Scratches, wear, cracks, pressing defects and dirt generally differ between copies, whereas the musical signal is substantially shared.</w:t>
      </w:r>
    </w:p>
    <w:p w14:paraId="276A7051" w14:textId="77777777">
      <w:pPr>
        <w:widowControl/>
      </w:pPr>
      <w:r>
        <w:rPr/>
        <w:t>Master-2000 v0.3.3 handles three to six sources simultaneously: one Master and up to five other sources assigned DONOR, RESERVE or REJECTED roles. Automatic repair requires support from at least two verified donors. One selected donor supplies the audio, with additional admitted sources providing support. The Master is retained when verification is insufficient. Successive donor pairs are a future archival concept, not the current workflow.</w:t>
      </w:r>
    </w:p>
    <w:p w14:paraId="3963A134" w14:textId="77777777">
      <w:pPr>
        <w:widowControl/>
      </w:pPr>
      <w:r>
        <w:rPr/>
        <w:t>The technical objective is preservation. The programs' source code is MIT-licensed, separately from rights to music and source recordings. Rights to storage, processing and distribution must be assessed for the material concerned.</w:t>
      </w:r>
    </w:p>
    <w:p w14:paraId="3E2C1032" w14:textId="77777777">
      <w:pPr>
        <w:pStyle w:val="Rubrik1"/>
        <w:keepNext/>
        <w:widowControl/>
      </w:pPr>
      <w:r>
        <w:rPr/>
        <w:t>2 Project objectives</w:t>
      </w:r>
    </w:p>
    <w:p w14:paraId="3B7632DE" w14:textId="77777777">
      <w:pPr>
        <w:pStyle w:val="Punktlista"/>
        <w:widowControl/>
      </w:pPr>
      <w:r>
        <w:rPr/>
        <w:t>Preserve the creative work fixed in historical recordings before physical copies deteriorate or disappear.</w:t>
      </w:r>
    </w:p>
    <w:p w14:paraId="408A4D48" w14:textId="77777777">
      <w:pPr>
        <w:pStyle w:val="Punktlista"/>
        <w:widowControl/>
      </w:pPr>
      <w:r>
        <w:rPr/>
        <w:t>Reconstruct a signal that may be better than any single surviving copy.</w:t>
      </w:r>
    </w:p>
    <w:p w14:paraId="14C3ACCF" w14:textId="77777777">
      <w:pPr>
        <w:pStyle w:val="Punktlista"/>
        <w:widowControl/>
      </w:pPr>
      <w:r>
        <w:rPr/>
        <w:t>Use only information traceable to actual source recordings.</w:t>
      </w:r>
    </w:p>
    <w:p w14:paraId="31C93906" w14:textId="77777777">
      <w:pPr>
        <w:pStyle w:val="Punktlista"/>
        <w:widowControl/>
      </w:pPr>
      <w:r>
        <w:rPr/>
        <w:t>Retain raw transfers and provenance so that later copies can improve earlier restorations.</w:t>
      </w:r>
    </w:p>
    <w:p w14:paraId="0F9D5B06" w14:textId="77777777">
      <w:pPr>
        <w:pStyle w:val="Punktlista"/>
        <w:widowControl/>
      </w:pPr>
      <w:r>
        <w:rPr/>
        <w:t>Make the method reproducible and technically reviewable.</w:t>
      </w:r>
    </w:p>
    <w:p w14:paraId="22B99F5E" w14:textId="77777777">
      <w:pPr>
        <w:pStyle w:val="Punktlista"/>
        <w:widowControl/>
      </w:pPr>
      <w:r>
        <w:rPr/>
        <w:t>Distinguish technical preservation from public distribution.</w:t>
      </w:r>
    </w:p>
    <w:p w14:paraId="462396BD" w14:textId="77777777">
      <w:pPr>
        <w:pStyle w:val="Rubrik1"/>
        <w:keepNext/>
        <w:widowControl/>
      </w:pPr>
      <w:r>
        <w:rPr/>
        <w:t>3 Multiple records as redundant storage</w:t>
      </w:r>
    </w:p>
    <w:p w14:paraId="5E5AB656" w14:textId="77777777">
      <w:pPr>
        <w:widowControl/>
      </w:pPr>
      <w:r>
        <w:rPr/>
        <w:t>A pressed record can be considered a physical copy of a shared information source. If copies A, B and C originate from the same relevant recording and pressing chain, they largely contain the same useful signal S(t), but different errors eA(t), eB(t) and eC(t):</w:t>
      </w:r>
    </w:p>
    <w:p w14:paraId="5911EDBD" w14:textId="77777777">
      <w:pPr>
        <w:widowControl/>
        <w:jc w:val="center"/>
      </w:pPr>
      <w:r>
        <w:rPr>
          <w:b/>
          <w:color w:val="000000"/>
        </w:rPr>
        <w:t>A(t) = S(t) + eA(t)     B(t) = S(t) + eB(t)     C(t) = S(t) + eC(t)</w:t>
      </w:r>
    </w:p>
    <w:p w14:paraId="1FDA461A" w14:textId="77777777">
      <w:pPr>
        <w:widowControl/>
      </w:pPr>
      <w:r>
        <w:rPr/>
        <w:t>Many defects are not correlated between copies. A deep scratch in A often does not occur at the same point in B and C. With sufficiently accurate alignment, the common signal can be identified while copy-specific disturbances are avoided.</w:t>
      </w:r>
    </w:p>
    <w:p w14:paraId="13C01024" w14:textId="77777777">
      <w:pPr>
        <w:pStyle w:val="Rubrik1"/>
        <w:keepNext/>
        <w:widowControl/>
      </w:pPr>
      <w:r>
        <w:rPr/>
        <w:t>4 Excluded reconstruction practices</w:t>
      </w:r>
    </w:p>
    <w:tbl>
      <w:tblPr>
        <w:tblStyle w:val="Tabellrutnt"/>
        <w:tblW w:w="0" w:type="auto"/>
        <w:jc w:val="center"/>
        <w:tblLook w:val="04A0" w:firstRow="1" w:lastRow="0" w:firstColumn="1" w:lastColumn="0" w:noHBand="0" w:noVBand="1"/>
      </w:tblPr>
      <w:tblGrid>
        <w:gridCol w:w="4252"/>
        <w:gridCol w:w="5102"/>
      </w:tblGrid>
      <w:tr w14:paraId="18844727" w14:textId="77777777">
        <w:trPr>
          <w:jc w:val="center"/>
          <w:cantSplit/>
          <w:tblHeader/>
          <w:cantSplit/>
          <w:tblHeader/>
        </w:trPr>
        <w:tc>
          <w:tcPr>
            <w:tcW w:w="4252" w:type="dxa"/>
            <w:shd w:val="clear" w:color="auto" w:fill="D9EAF7"/>
            <w:vAlign w:val="center"/>
            <w:tcBorders>
              <w:top w:val="single" w:sz="6" w:color="D9D9D9"/>
              <w:left w:val="single" w:sz="6" w:color="D9D9D9"/>
              <w:bottom w:val="single" w:sz="6" w:color="D9D9D9"/>
              <w:right w:val="single" w:sz="6" w:color="D9D9D9"/>
            </w:tcBorders>
            <w:tcBorders>
              <w:top w:val="single" w:sz="4" w:color="D9D9D9"/>
              <w:left w:val="single" w:sz="4" w:color="D9D9D9"/>
              <w:bottom w:val="single" w:sz="4" w:color="D9D9D9"/>
              <w:right w:val="single" w:sz="4" w:color="D9D9D9"/>
            </w:tcBorders>
          </w:tcPr>
          <w:p>
            <w:pPr>
              <w:spacing w:after="60" w:before="60"/>
            </w:pPr>
            <w:r>
              <w:rPr>
                <w:b/>
                <w:sz w:val="19"/>
              </w:rPr>
              <w:t>Excluded reconstruction practice</w:t>
            </w:r>
          </w:p>
        </w:tc>
        <w:tc>
          <w:tcPr>
            <w:tcW w:w="5102" w:type="dxa"/>
            <w:shd w:val="clear" w:color="auto" w:fill="D9EAF7"/>
            <w:vAlign w:val="center"/>
            <w:tcBorders>
              <w:top w:val="single" w:sz="6" w:color="D9D9D9"/>
              <w:left w:val="single" w:sz="6" w:color="D9D9D9"/>
              <w:bottom w:val="single" w:sz="6" w:color="D9D9D9"/>
              <w:right w:val="single" w:sz="6" w:color="D9D9D9"/>
            </w:tcBorders>
            <w:tcBorders>
              <w:top w:val="single" w:sz="4" w:color="D9D9D9"/>
              <w:left w:val="single" w:sz="4" w:color="D9D9D9"/>
              <w:bottom w:val="single" w:sz="4" w:color="D9D9D9"/>
              <w:right w:val="single" w:sz="4" w:color="D9D9D9"/>
            </w:tcBorders>
          </w:tcPr>
          <w:p>
            <w:pPr>
              <w:spacing w:after="60" w:before="60"/>
            </w:pPr>
            <w:r>
              <w:rPr>
                <w:b/>
                <w:sz w:val="19"/>
              </w:rPr>
              <w:t>Reason</w:t>
            </w:r>
          </w:p>
        </w:tc>
      </w:tr>
      <w:tr w14:paraId="6AC7C84A" w14:textId="77777777">
        <w:trPr>
          <w:jc w:val="center"/>
          <w:cantSplit/>
          <w:cantSplit/>
        </w:trPr>
        <w:tc>
          <w:tcPr>
            <w:tcW w:w="4252" w:type="dxa"/>
            <w:tcBorders>
              <w:top w:val="single" w:sz="6" w:color="D9D9D9"/>
              <w:left w:val="single" w:sz="6" w:color="D9D9D9"/>
              <w:bottom w:val="single" w:sz="6" w:color="D9D9D9"/>
              <w:right w:val="single" w:sz="6" w:color="D9D9D9"/>
            </w:tcBorders>
            <w:tcBorders>
              <w:top w:val="single" w:sz="4" w:color="D9D9D9"/>
              <w:left w:val="single" w:sz="4" w:color="D9D9D9"/>
              <w:bottom w:val="single" w:sz="4" w:color="D9D9D9"/>
              <w:right w:val="single" w:sz="4" w:color="D9D9D9"/>
            </w:tcBorders>
          </w:tcPr>
          <w:p>
            <w:pPr>
              <w:spacing w:after="60" w:before="60"/>
            </w:pPr>
            <w:r>
              <w:rPr>
                <w:b w:val="0"/>
                <w:sz w:val="19"/>
              </w:rPr>
              <w:t>Generate missing musical content with AI</w:t>
            </w:r>
          </w:p>
        </w:tc>
        <w:tc>
          <w:tcPr>
            <w:tcW w:w="5102" w:type="dxa"/>
            <w:tcBorders>
              <w:top w:val="single" w:sz="6" w:color="D9D9D9"/>
              <w:left w:val="single" w:sz="6" w:color="D9D9D9"/>
              <w:bottom w:val="single" w:sz="6" w:color="D9D9D9"/>
              <w:right w:val="single" w:sz="6" w:color="D9D9D9"/>
            </w:tcBorders>
            <w:tcBorders>
              <w:top w:val="single" w:sz="4" w:color="D9D9D9"/>
              <w:left w:val="single" w:sz="4" w:color="D9D9D9"/>
              <w:bottom w:val="single" w:sz="4" w:color="D9D9D9"/>
              <w:right w:val="single" w:sz="4" w:color="D9D9D9"/>
            </w:tcBorders>
          </w:tcPr>
          <w:p>
            <w:pPr>
              <w:spacing w:after="60" w:before="60"/>
            </w:pPr>
            <w:r>
              <w:rPr>
                <w:b w:val="0"/>
                <w:sz w:val="19"/>
              </w:rPr>
              <w:t>The result would no longer be verifiable recorded audio.</w:t>
            </w:r>
          </w:p>
        </w:tc>
      </w:tr>
      <w:tr w14:paraId="1ABFF442" w14:textId="77777777">
        <w:trPr>
          <w:jc w:val="center"/>
          <w:cantSplit/>
          <w:cantSplit/>
        </w:trPr>
        <w:tc>
          <w:tcPr>
            <w:tcW w:w="4252" w:type="dxa"/>
            <w:tcBorders>
              <w:top w:val="single" w:sz="6" w:color="D9D9D9"/>
              <w:left w:val="single" w:sz="6" w:color="D9D9D9"/>
              <w:bottom w:val="single" w:sz="6" w:color="D9D9D9"/>
              <w:right w:val="single" w:sz="6" w:color="D9D9D9"/>
            </w:tcBorders>
            <w:tcBorders>
              <w:top w:val="single" w:sz="4" w:color="D9D9D9"/>
              <w:left w:val="single" w:sz="4" w:color="D9D9D9"/>
              <w:bottom w:val="single" w:sz="4" w:color="D9D9D9"/>
              <w:right w:val="single" w:sz="4" w:color="D9D9D9"/>
            </w:tcBorders>
          </w:tcPr>
          <w:p>
            <w:pPr>
              <w:spacing w:after="60" w:before="60"/>
            </w:pPr>
            <w:r>
              <w:rPr>
                <w:b w:val="0"/>
                <w:sz w:val="19"/>
              </w:rPr>
              <w:t>Hallucinate or synthesise tones behind damage</w:t>
            </w:r>
          </w:p>
        </w:tc>
        <w:tc>
          <w:tcPr>
            <w:tcW w:w="5102" w:type="dxa"/>
            <w:tcBorders>
              <w:top w:val="single" w:sz="6" w:color="D9D9D9"/>
              <w:left w:val="single" w:sz="6" w:color="D9D9D9"/>
              <w:bottom w:val="single" w:sz="6" w:color="D9D9D9"/>
              <w:right w:val="single" w:sz="6" w:color="D9D9D9"/>
            </w:tcBorders>
            <w:tcBorders>
              <w:top w:val="single" w:sz="4" w:color="D9D9D9"/>
              <w:left w:val="single" w:sz="4" w:color="D9D9D9"/>
              <w:bottom w:val="single" w:sz="4" w:color="D9D9D9"/>
              <w:right w:val="single" w:sz="4" w:color="D9D9D9"/>
            </w:tcBorders>
          </w:tcPr>
          <w:p>
            <w:pPr>
              <w:spacing w:after="60" w:before="60"/>
            </w:pPr>
            <w:r>
              <w:rPr>
                <w:b w:val="0"/>
                <w:sz w:val="19"/>
              </w:rPr>
              <w:t>Breaks the provenance principle.</w:t>
            </w:r>
          </w:p>
        </w:tc>
      </w:tr>
      <w:tr w14:paraId="1FC5682F" w14:textId="77777777">
        <w:trPr>
          <w:jc w:val="center"/>
          <w:cantSplit/>
          <w:cantSplit/>
        </w:trPr>
        <w:tc>
          <w:tcPr>
            <w:tcW w:w="4252" w:type="dxa"/>
            <w:tcBorders>
              <w:top w:val="single" w:sz="6" w:color="D9D9D9"/>
              <w:left w:val="single" w:sz="6" w:color="D9D9D9"/>
              <w:bottom w:val="single" w:sz="6" w:color="D9D9D9"/>
              <w:right w:val="single" w:sz="6" w:color="D9D9D9"/>
            </w:tcBorders>
            <w:tcBorders>
              <w:top w:val="single" w:sz="4" w:color="D9D9D9"/>
              <w:left w:val="single" w:sz="4" w:color="D9D9D9"/>
              <w:bottom w:val="single" w:sz="4" w:color="D9D9D9"/>
              <w:right w:val="single" w:sz="4" w:color="D9D9D9"/>
            </w:tcBorders>
          </w:tcPr>
          <w:p>
            <w:pPr>
              <w:spacing w:after="60" w:before="60"/>
            </w:pPr>
            <w:r>
              <w:rPr>
                <w:b w:val="0"/>
                <w:sz w:val="19"/>
              </w:rPr>
              <w:t>Switch sources arbitrarily sample by sample without stability checks</w:t>
            </w:r>
          </w:p>
        </w:tc>
        <w:tc>
          <w:tcPr>
            <w:tcW w:w="5102" w:type="dxa"/>
            <w:tcBorders>
              <w:top w:val="single" w:sz="6" w:color="D9D9D9"/>
              <w:left w:val="single" w:sz="6" w:color="D9D9D9"/>
              <w:bottom w:val="single" w:sz="6" w:color="D9D9D9"/>
              <w:right w:val="single" w:sz="6" w:color="D9D9D9"/>
            </w:tcBorders>
            <w:tcBorders>
              <w:top w:val="single" w:sz="4" w:color="D9D9D9"/>
              <w:left w:val="single" w:sz="4" w:color="D9D9D9"/>
              <w:bottom w:val="single" w:sz="4" w:color="D9D9D9"/>
              <w:right w:val="single" w:sz="4" w:color="D9D9D9"/>
            </w:tcBorders>
          </w:tcPr>
          <w:p>
            <w:pPr>
              <w:spacing w:after="60" w:before="60"/>
            </w:pPr>
            <w:r>
              <w:rPr>
                <w:b w:val="0"/>
                <w:sz w:val="19"/>
              </w:rPr>
              <w:t>Risks phasing, comb filtering and audible artefacts.</w:t>
            </w:r>
          </w:p>
        </w:tc>
      </w:tr>
      <w:tr w14:paraId="335D4BB8" w14:textId="77777777">
        <w:trPr>
          <w:jc w:val="center"/>
          <w:cantSplit/>
          <w:cantSplit/>
        </w:trPr>
        <w:tc>
          <w:tcPr>
            <w:tcW w:w="4252" w:type="dxa"/>
            <w:tcBorders>
              <w:top w:val="single" w:sz="6" w:color="D9D9D9"/>
              <w:left w:val="single" w:sz="6" w:color="D9D9D9"/>
              <w:bottom w:val="single" w:sz="6" w:color="D9D9D9"/>
              <w:right w:val="single" w:sz="6" w:color="D9D9D9"/>
            </w:tcBorders>
            <w:tcBorders>
              <w:top w:val="single" w:sz="4" w:color="D9D9D9"/>
              <w:left w:val="single" w:sz="4" w:color="D9D9D9"/>
              <w:bottom w:val="single" w:sz="4" w:color="D9D9D9"/>
              <w:right w:val="single" w:sz="4" w:color="D9D9D9"/>
            </w:tcBorders>
          </w:tcPr>
          <w:p>
            <w:pPr>
              <w:spacing w:after="60" w:before="60"/>
            </w:pPr>
            <w:r>
              <w:rPr>
                <w:b w:val="0"/>
                <w:sz w:val="19"/>
              </w:rPr>
              <w:t>Discard original transfers after restoration</w:t>
            </w:r>
          </w:p>
        </w:tc>
        <w:tc>
          <w:tcPr>
            <w:tcW w:w="5102" w:type="dxa"/>
            <w:tcBorders>
              <w:top w:val="single" w:sz="6" w:color="D9D9D9"/>
              <w:left w:val="single" w:sz="6" w:color="D9D9D9"/>
              <w:bottom w:val="single" w:sz="6" w:color="D9D9D9"/>
              <w:right w:val="single" w:sz="6" w:color="D9D9D9"/>
            </w:tcBorders>
            <w:tcBorders>
              <w:top w:val="single" w:sz="4" w:color="D9D9D9"/>
              <w:left w:val="single" w:sz="4" w:color="D9D9D9"/>
              <w:bottom w:val="single" w:sz="4" w:color="D9D9D9"/>
              <w:right w:val="single" w:sz="4" w:color="D9D9D9"/>
            </w:tcBorders>
          </w:tcPr>
          <w:p>
            <w:pPr>
              <w:spacing w:after="60" w:before="60"/>
            </w:pPr>
            <w:r>
              <w:rPr>
                <w:b w:val="0"/>
                <w:sz w:val="19"/>
              </w:rPr>
              <w:t>Prevents later improvement and independent review.</w:t>
            </w:r>
          </w:p>
        </w:tc>
      </w:tr>
      <w:tr w14:paraId="05A9CC4B" w14:textId="77777777">
        <w:trPr>
          <w:jc w:val="center"/>
          <w:cantSplit/>
          <w:cantSplit/>
        </w:trPr>
        <w:tc>
          <w:tcPr>
            <w:tcW w:w="4252" w:type="dxa"/>
            <w:tcBorders>
              <w:top w:val="single" w:sz="6" w:color="D9D9D9"/>
              <w:left w:val="single" w:sz="6" w:color="D9D9D9"/>
              <w:bottom w:val="single" w:sz="6" w:color="D9D9D9"/>
              <w:right w:val="single" w:sz="6" w:color="D9D9D9"/>
            </w:tcBorders>
            <w:tcBorders>
              <w:top w:val="single" w:sz="4" w:color="D9D9D9"/>
              <w:left w:val="single" w:sz="4" w:color="D9D9D9"/>
              <w:bottom w:val="single" w:sz="4" w:color="D9D9D9"/>
              <w:right w:val="single" w:sz="4" w:color="D9D9D9"/>
            </w:tcBorders>
          </w:tcPr>
          <w:p>
            <w:pPr>
              <w:spacing w:after="60" w:before="60"/>
            </w:pPr>
            <w:r>
              <w:rPr>
                <w:b w:val="0"/>
                <w:sz w:val="19"/>
              </w:rPr>
              <w:t>Assume records with the same title are identical sources</w:t>
            </w:r>
          </w:p>
        </w:tc>
        <w:tc>
          <w:tcPr>
            <w:tcW w:w="5102" w:type="dxa"/>
            <w:tcBorders>
              <w:top w:val="single" w:sz="6" w:color="D9D9D9"/>
              <w:left w:val="single" w:sz="6" w:color="D9D9D9"/>
              <w:bottom w:val="single" w:sz="6" w:color="D9D9D9"/>
              <w:right w:val="single" w:sz="6" w:color="D9D9D9"/>
            </w:tcBorders>
            <w:tcBorders>
              <w:top w:val="single" w:sz="4" w:color="D9D9D9"/>
              <w:left w:val="single" w:sz="4" w:color="D9D9D9"/>
              <w:bottom w:val="single" w:sz="4" w:color="D9D9D9"/>
              <w:right w:val="single" w:sz="4" w:color="D9D9D9"/>
            </w:tcBorders>
          </w:tcPr>
          <w:p>
            <w:pPr>
              <w:spacing w:after="60" w:before="60"/>
            </w:pPr>
            <w:r>
              <w:rPr>
                <w:b w:val="0"/>
                <w:sz w:val="19"/>
              </w:rPr>
              <w:t>Different takes, matrices, pressings or mastering may exist.</w:t>
            </w:r>
          </w:p>
        </w:tc>
      </w:tr>
    </w:tbl>
    <w:p w14:paraId="5E0F12DD" w14:textId="77777777">
      <w:pPr>
        <w:widowControl/>
      </w:pPr>
    </w:p>
    <w:p w14:paraId="03539C47" w14:textId="77777777">
      <w:pPr>
        <w:pStyle w:val="Rubrik1"/>
        <w:keepNext/>
        <w:widowControl/>
      </w:pPr>
      <w:r>
        <w:rPr/>
        <w:t>5 Source identification before recording</w:t>
      </w:r>
    </w:p>
    <w:p w14:paraId="399F0A2A" w14:textId="77777777">
      <w:pPr>
        <w:widowControl/>
      </w:pPr>
      <w:r>
        <w:rPr/>
        <w:t>Assign each physical copy a permanent source ID. Its identity should follow it through photographs, raw WAV, analysis, decision map and restored output.</w:t>
      </w:r>
    </w:p>
    <w:p w14:paraId="2555B3D8" w14:textId="77777777">
      <w:pPr>
        <w:pStyle w:val="Punktlista"/>
        <w:widowControl/>
      </w:pPr>
      <w:r>
        <w:rPr/>
        <w:t>Label information: record company, catalogue number, side and title.</w:t>
      </w:r>
    </w:p>
    <w:p w14:paraId="63E133FE" w14:textId="77777777">
      <w:pPr>
        <w:pStyle w:val="Punktlista"/>
        <w:widowControl/>
      </w:pPr>
      <w:r>
        <w:rPr/>
        <w:t>Matrix numbers and other run-out or stamper markings.</w:t>
      </w:r>
    </w:p>
    <w:p w14:paraId="51947EE6" w14:textId="77777777">
      <w:pPr>
        <w:pStyle w:val="Punktlista"/>
        <w:widowControl/>
      </w:pPr>
      <w:r>
        <w:rPr/>
        <w:t>Photographs of both labels and, where needed, run-out markings.</w:t>
      </w:r>
    </w:p>
    <w:p w14:paraId="48D51F69" w14:textId="77777777">
      <w:pPr>
        <w:pStyle w:val="Punktlista"/>
        <w:widowControl/>
      </w:pPr>
      <w:r>
        <w:rPr/>
        <w:t>Visual condition assessment: scratches, cracks, edge damage, wear and other abnormalities.</w:t>
      </w:r>
    </w:p>
    <w:p w14:paraId="3322E187" w14:textId="77777777">
      <w:pPr>
        <w:pStyle w:val="Punktlista"/>
        <w:widowControl/>
      </w:pPr>
      <w:r>
        <w:rPr/>
        <w:t>Cartridge, stylus, playback speed, preamplifier, ADC and recording settings.</w:t>
      </w:r>
    </w:p>
    <w:p w14:paraId="5C32BE79" w14:textId="77777777">
      <w:pPr>
        <w:widowControl/>
      </w:pPr>
      <w:r>
        <w:rPr/>
        <w:t>Development testing includes multiple transfers of the same historical music, with up to five source files in documented real-recording runs. File count does not establish the number of independent physical copies. Labels, matrices, run-out markings and recording history require separate documentation. Test material uses neutral identifiers in this report.</w:t>
      </w:r>
    </w:p>
    <w:p w14:paraId="21C21E45" w14:textId="77777777">
      <w:pPr>
        <w:pStyle w:val="Rubrik1"/>
        <w:keepNext/>
        <w:widowControl/>
      </w:pPr>
      <w:r>
        <w:rPr/>
        <w:t>6 Digitisation recommendations</w:t>
      </w:r>
    </w:p>
    <w:tbl>
      <w:tblPr>
        <w:tblStyle w:val="Tabellrutnt"/>
        <w:tblW w:w="0" w:type="auto"/>
        <w:jc w:val="center"/>
        <w:tblLook w:val="04A0" w:firstRow="1" w:lastRow="0" w:firstColumn="1" w:lastColumn="0" w:noHBand="0" w:noVBand="1"/>
      </w:tblPr>
      <w:tblGrid>
        <w:gridCol w:w="4363"/>
        <w:gridCol w:w="5599"/>
      </w:tblGrid>
      <w:tr w14:paraId="00C9B1A4" w14:textId="77777777">
        <w:trPr>
          <w:jc w:val="center"/>
          <w:cantSplit/>
          <w:tblHeader/>
          <w:cantSplit/>
          <w:tblHeader/>
        </w:trPr>
        <w:tc>
          <w:tcPr>
            <w:tcW w:w="2835" w:type="dxa"/>
            <w:shd w:val="clear" w:color="auto" w:fill="D9EAF7"/>
            <w:vAlign w:val="center"/>
            <w:tcBorders>
              <w:top w:val="single" w:sz="6" w:color="D9D9D9"/>
              <w:left w:val="single" w:sz="6" w:color="D9D9D9"/>
              <w:bottom w:val="single" w:sz="6" w:color="D9D9D9"/>
              <w:right w:val="single" w:sz="6" w:color="D9D9D9"/>
            </w:tcBorders>
            <w:tcBorders>
              <w:top w:val="single" w:sz="4" w:color="D9D9D9"/>
              <w:left w:val="single" w:sz="4" w:color="D9D9D9"/>
              <w:bottom w:val="single" w:sz="4" w:color="D9D9D9"/>
              <w:right w:val="single" w:sz="4" w:color="D9D9D9"/>
            </w:tcBorders>
          </w:tcPr>
          <w:p>
            <w:pPr>
              <w:spacing w:after="60" w:before="60"/>
            </w:pPr>
            <w:r>
              <w:rPr>
                <w:b/>
                <w:sz w:val="19"/>
              </w:rPr>
              <w:t>Parameter</w:t>
            </w:r>
          </w:p>
        </w:tc>
        <w:tc>
          <w:tcPr>
            <w:tcW w:w="6520" w:type="dxa"/>
            <w:shd w:val="clear" w:color="auto" w:fill="D9EAF7"/>
            <w:vAlign w:val="center"/>
            <w:tcBorders>
              <w:top w:val="single" w:sz="6" w:color="D9D9D9"/>
              <w:left w:val="single" w:sz="6" w:color="D9D9D9"/>
              <w:bottom w:val="single" w:sz="6" w:color="D9D9D9"/>
              <w:right w:val="single" w:sz="6" w:color="D9D9D9"/>
            </w:tcBorders>
            <w:tcBorders>
              <w:top w:val="single" w:sz="4" w:color="D9D9D9"/>
              <w:left w:val="single" w:sz="4" w:color="D9D9D9"/>
              <w:bottom w:val="single" w:sz="4" w:color="D9D9D9"/>
              <w:right w:val="single" w:sz="4" w:color="D9D9D9"/>
            </w:tcBorders>
          </w:tcPr>
          <w:p>
            <w:pPr>
              <w:spacing w:after="60" w:before="60"/>
            </w:pPr>
            <w:r>
              <w:rPr>
                <w:b/>
                <w:sz w:val="19"/>
              </w:rPr>
              <w:t>Recommended minimum and working principle</w:t>
            </w:r>
          </w:p>
        </w:tc>
      </w:tr>
      <w:tr w14:paraId="4B043B53" w14:textId="77777777">
        <w:trPr>
          <w:jc w:val="center"/>
          <w:cantSplit/>
          <w:cantSplit/>
        </w:trPr>
        <w:tc>
          <w:tcPr>
            <w:tcW w:w="2835" w:type="dxa"/>
            <w:tcBorders>
              <w:top w:val="single" w:sz="6" w:color="D9D9D9"/>
              <w:left w:val="single" w:sz="6" w:color="D9D9D9"/>
              <w:bottom w:val="single" w:sz="6" w:color="D9D9D9"/>
              <w:right w:val="single" w:sz="6" w:color="D9D9D9"/>
            </w:tcBorders>
            <w:tcBorders>
              <w:top w:val="single" w:sz="4" w:color="D9D9D9"/>
              <w:left w:val="single" w:sz="4" w:color="D9D9D9"/>
              <w:bottom w:val="single" w:sz="4" w:color="D9D9D9"/>
              <w:right w:val="single" w:sz="4" w:color="D9D9D9"/>
            </w:tcBorders>
          </w:tcPr>
          <w:p>
            <w:pPr>
              <w:spacing w:after="60" w:before="60"/>
            </w:pPr>
            <w:r>
              <w:rPr>
                <w:b w:val="0"/>
                <w:sz w:val="19"/>
              </w:rPr>
              <w:t>Format</w:t>
            </w:r>
          </w:p>
        </w:tc>
        <w:tc>
          <w:tcPr>
            <w:tcW w:w="6520" w:type="dxa"/>
            <w:tcBorders>
              <w:top w:val="single" w:sz="6" w:color="D9D9D9"/>
              <w:left w:val="single" w:sz="6" w:color="D9D9D9"/>
              <w:bottom w:val="single" w:sz="6" w:color="D9D9D9"/>
              <w:right w:val="single" w:sz="6" w:color="D9D9D9"/>
            </w:tcBorders>
            <w:tcBorders>
              <w:top w:val="single" w:sz="4" w:color="D9D9D9"/>
              <w:left w:val="single" w:sz="4" w:color="D9D9D9"/>
              <w:bottom w:val="single" w:sz="4" w:color="D9D9D9"/>
              <w:right w:val="single" w:sz="4" w:color="D9D9D9"/>
            </w:tcBorders>
          </w:tcPr>
          <w:p>
            <w:pPr>
              <w:spacing w:after="60" w:before="60"/>
            </w:pPr>
            <w:r>
              <w:rPr>
                <w:b w:val="0"/>
                <w:sz w:val="19"/>
              </w:rPr>
              <w:t>Linear PCM WAV as primary raw and working file. Preserve BWF metadata in the archive; review derived exports separately.</w:t>
            </w:r>
          </w:p>
        </w:tc>
      </w:tr>
      <w:tr w14:paraId="668DC8F6" w14:textId="77777777">
        <w:trPr>
          <w:jc w:val="center"/>
          <w:cantSplit/>
          <w:cantSplit/>
        </w:trPr>
        <w:tc>
          <w:tcPr>
            <w:tcW w:w="2835" w:type="dxa"/>
            <w:tcBorders>
              <w:top w:val="single" w:sz="6" w:color="D9D9D9"/>
              <w:left w:val="single" w:sz="6" w:color="D9D9D9"/>
              <w:bottom w:val="single" w:sz="6" w:color="D9D9D9"/>
              <w:right w:val="single" w:sz="6" w:color="D9D9D9"/>
            </w:tcBorders>
            <w:tcBorders>
              <w:top w:val="single" w:sz="4" w:color="D9D9D9"/>
              <w:left w:val="single" w:sz="4" w:color="D9D9D9"/>
              <w:bottom w:val="single" w:sz="4" w:color="D9D9D9"/>
              <w:right w:val="single" w:sz="4" w:color="D9D9D9"/>
            </w:tcBorders>
          </w:tcPr>
          <w:p>
            <w:pPr>
              <w:spacing w:after="60" w:before="60"/>
            </w:pPr>
            <w:r>
              <w:rPr>
                <w:b w:val="0"/>
                <w:sz w:val="19"/>
              </w:rPr>
              <w:t>Sample rate</w:t>
            </w:r>
          </w:p>
        </w:tc>
        <w:tc>
          <w:tcPr>
            <w:tcW w:w="6520" w:type="dxa"/>
            <w:tcBorders>
              <w:top w:val="single" w:sz="6" w:color="D9D9D9"/>
              <w:left w:val="single" w:sz="6" w:color="D9D9D9"/>
              <w:bottom w:val="single" w:sz="6" w:color="D9D9D9"/>
              <w:right w:val="single" w:sz="6" w:color="D9D9D9"/>
            </w:tcBorders>
            <w:tcBorders>
              <w:top w:val="single" w:sz="4" w:color="D9D9D9"/>
              <w:left w:val="single" w:sz="4" w:color="D9D9D9"/>
              <w:bottom w:val="single" w:sz="4" w:color="D9D9D9"/>
              <w:right w:val="single" w:sz="4" w:color="D9D9D9"/>
            </w:tcBorders>
          </w:tcPr>
          <w:p>
            <w:pPr>
              <w:spacing w:after="60" w:before="60"/>
            </w:pPr>
            <w:r>
              <w:rPr>
                <w:b w:val="0"/>
                <w:sz w:val="19"/>
              </w:rPr>
              <w:t>96 kHz for new transfers under project recommendations. IASA general minimum is 48 kHz [1].</w:t>
            </w:r>
          </w:p>
        </w:tc>
      </w:tr>
      <w:tr w14:paraId="39D5A2BD" w14:textId="77777777">
        <w:trPr>
          <w:jc w:val="center"/>
          <w:cantSplit/>
          <w:cantSplit/>
        </w:trPr>
        <w:tc>
          <w:tcPr>
            <w:tcW w:w="2835" w:type="dxa"/>
            <w:tcBorders>
              <w:top w:val="single" w:sz="6" w:color="D9D9D9"/>
              <w:left w:val="single" w:sz="6" w:color="D9D9D9"/>
              <w:bottom w:val="single" w:sz="6" w:color="D9D9D9"/>
              <w:right w:val="single" w:sz="6" w:color="D9D9D9"/>
            </w:tcBorders>
            <w:tcBorders>
              <w:top w:val="single" w:sz="4" w:color="D9D9D9"/>
              <w:left w:val="single" w:sz="4" w:color="D9D9D9"/>
              <w:bottom w:val="single" w:sz="4" w:color="D9D9D9"/>
              <w:right w:val="single" w:sz="4" w:color="D9D9D9"/>
            </w:tcBorders>
          </w:tcPr>
          <w:p>
            <w:pPr>
              <w:spacing w:after="60" w:before="60"/>
            </w:pPr>
            <w:r>
              <w:rPr>
                <w:b w:val="0"/>
                <w:sz w:val="19"/>
              </w:rPr>
              <w:t>Bit depth</w:t>
            </w:r>
          </w:p>
        </w:tc>
        <w:tc>
          <w:tcPr>
            <w:tcW w:w="6520" w:type="dxa"/>
            <w:tcBorders>
              <w:top w:val="single" w:sz="6" w:color="D9D9D9"/>
              <w:left w:val="single" w:sz="6" w:color="D9D9D9"/>
              <w:bottom w:val="single" w:sz="6" w:color="D9D9D9"/>
              <w:right w:val="single" w:sz="6" w:color="D9D9D9"/>
            </w:tcBorders>
            <w:tcBorders>
              <w:top w:val="single" w:sz="4" w:color="D9D9D9"/>
              <w:left w:val="single" w:sz="4" w:color="D9D9D9"/>
              <w:bottom w:val="single" w:sz="4" w:color="D9D9D9"/>
              <w:right w:val="single" w:sz="4" w:color="D9D9D9"/>
            </w:tcBorders>
          </w:tcPr>
          <w:p>
            <w:pPr>
              <w:spacing w:after="60" w:before="60"/>
            </w:pPr>
            <w:r>
              <w:rPr>
                <w:b w:val="0"/>
                <w:sz w:val="19"/>
              </w:rPr>
              <w:t>24 bits for new transfers; verify actual recording configuration.</w:t>
            </w:r>
          </w:p>
        </w:tc>
      </w:tr>
      <w:tr w14:paraId="540CEF80" w14:textId="77777777">
        <w:trPr>
          <w:jc w:val="center"/>
          <w:cantSplit/>
          <w:cantSplit/>
        </w:trPr>
        <w:tc>
          <w:tcPr>
            <w:tcW w:w="2835" w:type="dxa"/>
            <w:tcBorders>
              <w:top w:val="single" w:sz="6" w:color="D9D9D9"/>
              <w:left w:val="single" w:sz="6" w:color="D9D9D9"/>
              <w:bottom w:val="single" w:sz="6" w:color="D9D9D9"/>
              <w:right w:val="single" w:sz="6" w:color="D9D9D9"/>
            </w:tcBorders>
            <w:tcBorders>
              <w:top w:val="single" w:sz="4" w:color="D9D9D9"/>
              <w:left w:val="single" w:sz="4" w:color="D9D9D9"/>
              <w:bottom w:val="single" w:sz="4" w:color="D9D9D9"/>
              <w:right w:val="single" w:sz="4" w:color="D9D9D9"/>
            </w:tcBorders>
          </w:tcPr>
          <w:p>
            <w:pPr>
              <w:spacing w:after="60" w:before="60"/>
            </w:pPr>
            <w:r>
              <w:rPr>
                <w:b w:val="0"/>
                <w:sz w:val="19"/>
              </w:rPr>
              <w:t>Channels</w:t>
            </w:r>
          </w:p>
        </w:tc>
        <w:tc>
          <w:tcPr>
            <w:tcW w:w="6520" w:type="dxa"/>
            <w:tcBorders>
              <w:top w:val="single" w:sz="6" w:color="D9D9D9"/>
              <w:left w:val="single" w:sz="6" w:color="D9D9D9"/>
              <w:bottom w:val="single" w:sz="6" w:color="D9D9D9"/>
              <w:right w:val="single" w:sz="6" w:color="D9D9D9"/>
            </w:tcBorders>
            <w:tcBorders>
              <w:top w:val="single" w:sz="4" w:color="D9D9D9"/>
              <w:left w:val="single" w:sz="4" w:color="D9D9D9"/>
              <w:bottom w:val="single" w:sz="4" w:color="D9D9D9"/>
              <w:right w:val="single" w:sz="4" w:color="D9D9D9"/>
            </w:tcBorders>
          </w:tcPr>
          <w:p>
            <w:pPr>
              <w:spacing w:after="60" w:before="60"/>
            </w:pPr>
            <w:r>
              <w:rPr>
                <w:b w:val="0"/>
                <w:sz w:val="19"/>
              </w:rPr>
              <w:t>Capture both cartridge channels for mono records where possible. Mono is a derivative.</w:t>
            </w:r>
          </w:p>
        </w:tc>
      </w:tr>
      <w:tr w14:paraId="3E67CAC5" w14:textId="77777777">
        <w:trPr>
          <w:jc w:val="center"/>
          <w:cantSplit/>
          <w:cantSplit/>
        </w:trPr>
        <w:tc>
          <w:tcPr>
            <w:tcW w:w="2835" w:type="dxa"/>
            <w:tcBorders>
              <w:top w:val="single" w:sz="6" w:color="D9D9D9"/>
              <w:left w:val="single" w:sz="6" w:color="D9D9D9"/>
              <w:bottom w:val="single" w:sz="6" w:color="D9D9D9"/>
              <w:right w:val="single" w:sz="6" w:color="D9D9D9"/>
            </w:tcBorders>
            <w:tcBorders>
              <w:top w:val="single" w:sz="4" w:color="D9D9D9"/>
              <w:left w:val="single" w:sz="4" w:color="D9D9D9"/>
              <w:bottom w:val="single" w:sz="4" w:color="D9D9D9"/>
              <w:right w:val="single" w:sz="4" w:color="D9D9D9"/>
            </w:tcBorders>
          </w:tcPr>
          <w:p>
            <w:pPr>
              <w:spacing w:after="60" w:before="60"/>
            </w:pPr>
            <w:r>
              <w:rPr>
                <w:b w:val="0"/>
                <w:sz w:val="19"/>
              </w:rPr>
              <w:t>78 RPM material</w:t>
            </w:r>
          </w:p>
        </w:tc>
        <w:tc>
          <w:tcPr>
            <w:tcW w:w="6520" w:type="dxa"/>
            <w:tcBorders>
              <w:top w:val="single" w:sz="6" w:color="D9D9D9"/>
              <w:left w:val="single" w:sz="6" w:color="D9D9D9"/>
              <w:bottom w:val="single" w:sz="6" w:color="D9D9D9"/>
              <w:right w:val="single" w:sz="6" w:color="D9D9D9"/>
            </w:tcBorders>
            <w:tcBorders>
              <w:top w:val="single" w:sz="4" w:color="D9D9D9"/>
              <w:left w:val="single" w:sz="4" w:color="D9D9D9"/>
              <w:bottom w:val="single" w:sz="4" w:color="D9D9D9"/>
              <w:right w:val="single" w:sz="4" w:color="D9D9D9"/>
            </w:tcBorders>
          </w:tcPr>
          <w:p>
            <w:pPr>
              <w:spacing w:after="60" w:before="60"/>
            </w:pPr>
            <w:r>
              <w:rPr>
                <w:b w:val="0"/>
                <w:sz w:val="19"/>
              </w:rPr>
              <w:t>Stable documented speed and a suitable stylus. Lower capture speed is an option, not a requirement.</w:t>
            </w:r>
          </w:p>
        </w:tc>
      </w:tr>
      <w:tr w14:paraId="1E9C7C5F" w14:textId="77777777">
        <w:trPr>
          <w:jc w:val="center"/>
          <w:cantSplit/>
          <w:cantSplit/>
        </w:trPr>
        <w:tc>
          <w:tcPr>
            <w:tcW w:w="2835" w:type="dxa"/>
            <w:tcBorders>
              <w:top w:val="single" w:sz="6" w:color="D9D9D9"/>
              <w:left w:val="single" w:sz="6" w:color="D9D9D9"/>
              <w:bottom w:val="single" w:sz="6" w:color="D9D9D9"/>
              <w:right w:val="single" w:sz="6" w:color="D9D9D9"/>
            </w:tcBorders>
            <w:tcBorders>
              <w:top w:val="single" w:sz="4" w:color="D9D9D9"/>
              <w:left w:val="single" w:sz="4" w:color="D9D9D9"/>
              <w:bottom w:val="single" w:sz="4" w:color="D9D9D9"/>
              <w:right w:val="single" w:sz="4" w:color="D9D9D9"/>
            </w:tcBorders>
          </w:tcPr>
          <w:p>
            <w:pPr>
              <w:spacing w:after="60" w:before="60"/>
            </w:pPr>
            <w:r>
              <w:rPr>
                <w:b w:val="0"/>
                <w:sz w:val="19"/>
              </w:rPr>
              <w:t>Raw files</w:t>
            </w:r>
          </w:p>
        </w:tc>
        <w:tc>
          <w:tcPr>
            <w:tcW w:w="6520" w:type="dxa"/>
            <w:tcBorders>
              <w:top w:val="single" w:sz="6" w:color="D9D9D9"/>
              <w:left w:val="single" w:sz="6" w:color="D9D9D9"/>
              <w:bottom w:val="single" w:sz="6" w:color="D9D9D9"/>
              <w:right w:val="single" w:sz="6" w:color="D9D9D9"/>
            </w:tcBorders>
            <w:tcBorders>
              <w:top w:val="single" w:sz="4" w:color="D9D9D9"/>
              <w:left w:val="single" w:sz="4" w:color="D9D9D9"/>
              <w:bottom w:val="single" w:sz="4" w:color="D9D9D9"/>
              <w:right w:val="single" w:sz="4" w:color="D9D9D9"/>
            </w:tcBorders>
          </w:tcPr>
          <w:p>
            <w:pPr>
              <w:spacing w:after="60" w:before="60"/>
            </w:pPr>
            <w:r>
              <w:rPr>
                <w:b w:val="0"/>
                <w:sz w:val="19"/>
              </w:rPr>
              <w:t>Unchanged originals with SHA-256, capture metadata and a separate backup.</w:t>
            </w:r>
          </w:p>
        </w:tc>
      </w:tr>
      <w:tr w14:paraId="331522C5" w14:textId="77777777">
        <w:trPr>
          <w:jc w:val="center"/>
          <w:cantSplit/>
          <w:cantSplit/>
        </w:trPr>
        <w:tc>
          <w:tcPr>
            <w:tcW w:w="2835" w:type="dxa"/>
            <w:tcBorders>
              <w:top w:val="single" w:sz="6" w:color="D9D9D9"/>
              <w:left w:val="single" w:sz="6" w:color="D9D9D9"/>
              <w:bottom w:val="single" w:sz="6" w:color="D9D9D9"/>
              <w:right w:val="single" w:sz="6" w:color="D9D9D9"/>
            </w:tcBorders>
            <w:tcBorders>
              <w:top w:val="single" w:sz="4" w:color="D9D9D9"/>
              <w:left w:val="single" w:sz="4" w:color="D9D9D9"/>
              <w:bottom w:val="single" w:sz="4" w:color="D9D9D9"/>
              <w:right w:val="single" w:sz="4" w:color="D9D9D9"/>
            </w:tcBorders>
          </w:tcPr>
          <w:p>
            <w:pPr>
              <w:spacing w:after="60" w:before="60"/>
            </w:pPr>
            <w:r>
              <w:rPr>
                <w:b w:val="0"/>
                <w:sz w:val="19"/>
              </w:rPr>
              <w:t>Lossless formats</w:t>
            </w:r>
          </w:p>
        </w:tc>
        <w:tc>
          <w:tcPr>
            <w:tcW w:w="6520" w:type="dxa"/>
            <w:tcBorders>
              <w:top w:val="single" w:sz="6" w:color="D9D9D9"/>
              <w:left w:val="single" w:sz="6" w:color="D9D9D9"/>
              <w:bottom w:val="single" w:sz="6" w:color="D9D9D9"/>
              <w:right w:val="single" w:sz="6" w:color="D9D9D9"/>
            </w:tcBorders>
            <w:tcBorders>
              <w:top w:val="single" w:sz="4" w:color="D9D9D9"/>
              <w:left w:val="single" w:sz="4" w:color="D9D9D9"/>
              <w:bottom w:val="single" w:sz="4" w:color="D9D9D9"/>
              <w:right w:val="single" w:sz="4" w:color="D9D9D9"/>
            </w:tcBorders>
          </w:tcPr>
          <w:p>
            <w:pPr>
              <w:spacing w:after="60" w:before="60"/>
            </w:pPr>
            <w:r>
              <w:rPr>
                <w:b w:val="0"/>
                <w:sz w:val="19"/>
              </w:rPr>
              <w:t>PCM WAV is the recommended working path. Bit-identical FLAC/ALAC may serve as archive representations after codec and integrity checks. Verify each tool separately.</w:t>
            </w:r>
          </w:p>
        </w:tc>
      </w:tr>
      <w:tr w14:paraId="29603A2B" w14:textId="77777777">
        <w:trPr>
          <w:jc w:val="center"/>
          <w:cantSplit/>
          <w:cantSplit/>
        </w:trPr>
        <w:tc>
          <w:tcPr>
            <w:tcW w:w="4986" w:type="dxa"/>
            <w:tcBorders>
              <w:top w:val="single" w:sz="6" w:color="D9D9D9"/>
              <w:left w:val="single" w:sz="6" w:color="D9D9D9"/>
              <w:bottom w:val="single" w:sz="6" w:color="D9D9D9"/>
              <w:right w:val="single" w:sz="6" w:color="D9D9D9"/>
            </w:tcBorders>
            <w:tcBorders>
              <w:top w:val="single" w:sz="4" w:color="D9D9D9"/>
              <w:left w:val="single" w:sz="4" w:color="D9D9D9"/>
              <w:bottom w:val="single" w:sz="4" w:color="D9D9D9"/>
              <w:right w:val="single" w:sz="4" w:color="D9D9D9"/>
            </w:tcBorders>
          </w:tcPr>
          <w:p>
            <w:pPr>
              <w:spacing w:after="60" w:before="60"/>
            </w:pPr>
            <w:r>
              <w:rPr>
                <w:b w:val="0"/>
                <w:sz w:val="19"/>
              </w:rPr>
              <w:t>Speed metadata</w:t>
            </w:r>
          </w:p>
        </w:tc>
        <w:tc>
          <w:tcPr>
            <w:tcW w:w="4986" w:type="dxa"/>
            <w:tcBorders>
              <w:top w:val="single" w:sz="6" w:color="D9D9D9"/>
              <w:left w:val="single" w:sz="6" w:color="D9D9D9"/>
              <w:bottom w:val="single" w:sz="6" w:color="D9D9D9"/>
              <w:right w:val="single" w:sz="6" w:color="D9D9D9"/>
            </w:tcBorders>
            <w:tcBorders>
              <w:top w:val="single" w:sz="4" w:color="D9D9D9"/>
              <w:left w:val="single" w:sz="4" w:color="D9D9D9"/>
              <w:bottom w:val="single" w:sz="4" w:color="D9D9D9"/>
              <w:right w:val="single" w:sz="4" w:color="D9D9D9"/>
            </w:tcBorders>
          </w:tcPr>
          <w:p>
            <w:pPr>
              <w:spacing w:after="60" w:before="60"/>
            </w:pPr>
            <w:r>
              <w:rPr>
                <w:b w:val="0"/>
                <w:sz w:val="19"/>
              </w:rPr>
              <w:t>Record capture and target RPM separately. Apply and document correction only where needed.</w:t>
            </w:r>
          </w:p>
        </w:tc>
      </w:tr>
    </w:tbl>
    <w:p w14:paraId="6BA45A9C" w14:textId="77777777">
      <w:pPr>
        <w:widowControl/>
      </w:pPr>
    </w:p>
    <w:p w14:paraId="1B350E75" w14:textId="77777777">
      <w:pPr>
        <w:widowControl/>
      </w:pPr>
      <w:r>
        <w:rPr/>
        <w:t>For new transfers, the project recommends at least 96 kHz / 24-bit linear PCM WAV, both cartridge channels and an audio input that actually operates in that format. This is the recommended project workflow, not the lowest import format the software may accept or a claim that older files have no value. IASA specifies at least 48 kHz and at least 24 bits for analogue transfers, recommending 96 kHz as a higher rate [1]. A nominal 24-bit setting does not guarantee equivalent effective analogue resolution.</w:t>
      </w:r>
    </w:p>
    <w:p>
      <w:pPr>
        <w:pStyle w:val="Rubrik2"/>
        <w:keepNext/>
        <w:widowControl/>
      </w:pPr>
      <w:r>
        <w:rPr/>
        <w:t>6A Recommended computer specifications</w:t>
      </w:r>
    </w:p>
    <w:p>
      <w:pPr>
        <w:widowControl/>
      </w:pPr>
      <w:r>
        <w:rPr/>
        <w:t>A practical starting recommendation is a 64-bit Windows computer with a four-core processor, 16 GB RAM and SSD. For longer recordings and six simultaneous sources, 32 GB RAM is recommended. These are planning recommendations, not benchmark-established minimum requirements. Check Windows compatibility and standalone startup against the supplied build. Visual Studio is needed only to rebuild the source. The audio engine does not require a particular GPU.</w:t>
      </w:r>
    </w:p>
    <w:p>
      <w:pPr>
        <w:widowControl/>
      </w:pPr>
      <w:r>
        <w:rPr/>
        <w:t>Stereo PCM at 96 kHz / 24 bits uses approximately 34.6 MB per recorded minute. Six five-minute sources therefore occupy approximately 1.04 GB of raw audio. Additional space is needed for Result, diagnostics, copies and backups. Working memory requirements may exceed file sizes.</w:t>
      </w:r>
    </w:p>
    <w:p w14:paraId="5D7854AD" w14:textId="77777777">
      <w:pPr>
        <w:pStyle w:val="Rubrik1"/>
        <w:keepNext/>
        <w:widowControl/>
      </w:pPr>
      <w:r>
        <w:rPr/>
        <w:t>7 Recommended shellac playback chain</w:t>
      </w:r>
    </w:p>
    <w:p w14:paraId="6C555733" w14:textId="77777777">
      <w:pPr>
        <w:widowControl/>
      </w:pPr>
      <w:r>
        <w:rPr/>
        <w:t>Use a stable turntable with documented speed, an adjustable tonearm and a cartridge supporting a stylus appropriate to the groove. A suitable 78 RPM stylus is required for shellac; an ordinary LP microgroove stylus is not recommended. Select stylus profile and size for the record and verify by comparative transfers [2]. No particular manufacturer or model is required.</w:t>
      </w:r>
    </w:p>
    <w:p w14:paraId="20FF1E04" w14:textId="77777777">
      <w:pPr>
        <w:widowControl/>
      </w:pPr>
      <w:r>
        <w:rPr/>
        <w:t>Transfer at the correct playback speed or a documented lower speed, such as 45 RPM. The speed factor is target RPM divided by recorded RPM. From 45 to 77.92 RPM, the factor is 1.73156 and duration is divided by the same factor. Speed conversion also changes pitch. Equalisation and signal-path frequency response must be assessed for the transfer speed; 45 RPM is not a general requirement.</w:t>
      </w:r>
    </w:p>
    <w:p w14:paraId="762F34E0" w14:textId="77777777">
      <w:pPr>
        <w:pStyle w:val="Punktlista"/>
        <w:widowControl/>
      </w:pPr>
      <w:r>
        <w:rPr/>
        <w:t>Set overhang, cartridge angle, tracking force and anti-skating according to the tonearm and stylus instructions. A dimension specific to one turntable model is not a general standard.</w:t>
      </w:r>
    </w:p>
    <w:p w14:paraId="0C0C62C6" w14:textId="77777777">
      <w:pPr>
        <w:pStyle w:val="Punktlista"/>
        <w:widowControl/>
      </w:pPr>
      <w:r>
        <w:rPr/>
        <w:t>Match the preamplifier to the cartridge signal type and provide adequate level without overload. The ADC should have adjustable or appropriately matched input level. Disable automatic gain control, noise reduction, de-clicking, compression and audio enhancements during raw transfer.</w:t>
      </w:r>
    </w:p>
    <w:p w14:paraId="523600E6" w14:textId="77777777">
      <w:pPr>
        <w:pStyle w:val="Punktlista"/>
        <w:widowControl/>
      </w:pPr>
      <w:r>
        <w:rPr/>
        <w:t>Transfer compared copies through the same or closely matched signal path and settings. Sample peaks around -12 to -6 dBFS are a practical starting recommendation, with headroom for larger impulses. Check both the analogue chain and ADC for clipping.</w:t>
      </w:r>
    </w:p>
    <w:p w14:paraId="7CCD4F84" w14:textId="77777777">
      <w:pPr>
        <w:pStyle w:val="Punktlista"/>
        <w:widowControl/>
      </w:pPr>
      <w:r>
        <w:rPr/>
        <w:t>Historical 78 RPM recordings may need different equalisation from modern RIAA. Document the curve or absence of a curve. Where the correct curve is uncertain, IASA recommends a flat transfer [3], which requires a suitable signal path. Preserve the original transfer before later tonal processing.</w:t>
      </w:r>
    </w:p>
    <w:p w14:paraId="6B708498" w14:textId="77777777">
      <w:pPr>
        <w:pStyle w:val="Rubrik1"/>
        <w:keepNext/>
        <w:widowControl/>
      </w:pPr>
      <w:r>
        <w:rPr/>
        <w:t>8 Signal processing workflow</w:t>
      </w:r>
    </w:p>
    <w:p w14:paraId="569BAEFB" w14:textId="77777777">
      <w:pPr>
        <w:widowControl/>
      </w:pPr>
      <w:r>
        <w:rPr/>
        <w:t>The current workflow has separate stages so that decisions can be reviewed. Archive objectives and future features are distinguished from operations performed by the supplied version.</w:t>
      </w:r>
    </w:p>
    <w:p w14:paraId="2D94C573" w14:textId="77777777">
      <w:pPr>
        <w:pStyle w:val="Numreradlista"/>
        <w:widowControl/>
      </w:pPr>
      <w:r>
        <w:rPr/>
        <w:t>Ingest and check format, duration, level and metadata.</w:t>
      </w:r>
    </w:p>
    <w:p w14:paraId="3F67A6B1" w14:textId="77777777">
      <w:pPr>
        <w:pStyle w:val="Numreradlista"/>
        <w:widowControl/>
      </w:pPr>
      <w:r>
        <w:rPr/>
        <w:t>Apply coarse speed normalisation where necessary. Preserve the raw transfer at recorded speed. Export may convert documented capture speed, commonly 45 RPM in development, to the chosen nominal or verified playback speed, commonly near 78 RPM.</w:t>
      </w:r>
    </w:p>
    <w:p w14:paraId="0672ACF2" w14:textId="77777777">
      <w:pPr>
        <w:pStyle w:val="Numreradlista"/>
        <w:widowControl/>
      </w:pPr>
      <w:r>
        <w:rPr/>
        <w:t>Coarsely align the sources in time.</w:t>
      </w:r>
    </w:p>
    <w:p w14:paraId="78616ED1" w14:textId="77777777">
      <w:pPr>
        <w:pStyle w:val="Numreradlista"/>
        <w:widowControl/>
      </w:pPr>
      <w:r>
        <w:rPr/>
        <w:t>Track fine timing continuously to compensate for small speed and clock differences.</w:t>
      </w:r>
    </w:p>
    <w:p w14:paraId="4CE53CE3" w14:textId="77777777">
      <w:pPr>
        <w:pStyle w:val="Numreradlista"/>
        <w:widowControl/>
      </w:pPr>
      <w:r>
        <w:rPr/>
        <w:t>Calculate local timing confidence. At low confidence, delay should be held rather than driven by false correlation peaks.</w:t>
      </w:r>
    </w:p>
    <w:p w14:paraId="115DBF23" w14:textId="77777777">
      <w:pPr>
        <w:pStyle w:val="Numreradlista"/>
        <w:widowControl/>
      </w:pPr>
      <w:r>
        <w:rPr/>
        <w:t>Assess local source quality using impulses, noise, distortion, damage and consistency with other sources.</w:t>
      </w:r>
    </w:p>
    <w:p w14:paraId="547A600E" w14:textId="77777777">
      <w:pPr>
        <w:pStyle w:val="Numreradlista"/>
        <w:widowControl/>
      </w:pPr>
      <w:r>
        <w:rPr/>
        <w:t>Source assessment uses approximately 2 ms cells, but verified isolated impulses may be located to shorter cores. Audio is rendered from one selected donor with level adjustment and short transitions. The Master is retained where support is insufficient.</w:t>
      </w:r>
    </w:p>
    <w:p w14:paraId="75C3D7B8" w14:textId="77777777">
      <w:pPr>
        <w:pStyle w:val="Numreradlista"/>
        <w:widowControl/>
      </w:pPr>
      <w:r>
        <w:rPr/>
        <w:t>Apply short controlled crossfades at necessary source changes.</w:t>
      </w:r>
    </w:p>
    <w:p w14:paraId="7537977D" w14:textId="77777777">
      <w:pPr>
        <w:pStyle w:val="Numreradlista"/>
        <w:widowControl/>
      </w:pPr>
      <w:r>
        <w:rPr/>
        <w:t>Export the restored result and a machine-readable decision map.</w:t>
      </w:r>
    </w:p>
    <w:p w14:paraId="70BB9B1B" w14:textId="77777777">
      <w:pPr>
        <w:pStyle w:val="Rubrik1"/>
        <w:keepNext/>
        <w:widowControl/>
      </w:pPr>
      <w:r>
        <w:rPr/>
        <w:t>9 Fine timing alignment</w:t>
      </w:r>
    </w:p>
    <w:p w14:paraId="683A4F05" w14:textId="77777777">
      <w:pPr>
        <w:widowControl/>
      </w:pPr>
      <w:r>
        <w:rPr/>
        <w:t>Sources cannot be assumed to maintain identical speed. Small turntable-speed and ADC-clock differences can accumulate thousands of samples of displacement over a few minutes. Local relative delay must therefore be tracked throughout the recording, not just at its start.</w:t>
      </w:r>
    </w:p>
    <w:p w14:paraId="1FF66888" w14:textId="77777777">
      <w:pPr>
        <w:widowControl/>
      </w:pPr>
      <w:r>
        <w:rPr/>
        <w:t>Early tests showed that simple raw waveform correlation can lose stability. The later engine uses coarse and fine searches and multiple anchors for start and drift. Repeated musical patterns and weak sources can still produce incorrect or missing matches. Local verification remains necessary after global alignment is accepted.</w:t>
      </w:r>
    </w:p>
    <w:p w14:paraId="4B14EA98" w14:textId="77777777">
      <w:pPr>
        <w:widowControl/>
      </w:pPr>
      <w:r>
        <w:rPr/>
        <w:t>Sharp attacks and rich harmonic structure make demanding test material: small timing errors may become audible, while transients can provide useful correlation anchors.</w:t>
      </w:r>
    </w:p>
    <w:p w14:paraId="7C78A41A" w14:textId="77777777">
      <w:pPr>
        <w:pStyle w:val="Rubrik1"/>
        <w:keepNext/>
        <w:widowControl/>
      </w:pPr>
      <w:r>
        <w:rPr/>
        <w:t>10 Reconstruction strategy</w:t>
      </w:r>
    </w:p>
    <w:p w14:paraId="3B3C8650" w14:textId="77777777">
      <w:pPr>
        <w:widowControl/>
      </w:pPr>
      <w:r>
        <w:rPr/>
        <w:t>Master-2000 primarily selects an authentic source for a local interval rather than continuously averaging recordings. Rapid sample-by-sample switching or averaging slightly misaligned sources can cause comb filtering and tonal changes.</w:t>
      </w:r>
    </w:p>
    <w:p w14:paraId="1BF9711F" w14:textId="77777777">
      <w:pPr>
        <w:widowControl/>
      </w:pPr>
      <w:r>
        <w:rPr/>
        <w:t>The Master is the selected timing reference and remains unchanged unless verified local damage justifies replacement. The engine proposes a Master after quality and alignment assessment; the user can choose the reference. High level or wide dynamics alone do not establish the best source. The proposal is an assessment, not ground truth.</w:t>
      </w:r>
    </w:p>
    <w:p w14:paraId="4B7585BB" w14:textId="77777777">
      <w:pPr>
        <w:widowControl/>
      </w:pPr>
      <w:r>
        <w:rPr/>
        <w:t>The continuity criterion develops the Vinyl-2000 concept: favour a candidate that continues the already selected authentic signal, while also considering agreement between sources and local quality. A short signal history is used rather than only the previous sample.</w:t>
      </w:r>
    </w:p>
    <w:p w14:paraId="76983E1B" w14:textId="77777777">
      <w:pPr>
        <w:widowControl/>
      </w:pPr>
      <w:r>
        <w:rPr/>
        <w:t>Local gain/DC matching worsened the early Torture-2 test in v0.2.2 and was disabled then. A different local match was introduced in the v0.2.30 line: donor level and DC are fitted to surrounding audio while excluding the suspected damage. The historical result therefore does not describe the current method. Benefits and possible tonal effects still require validation.</w:t>
      </w:r>
    </w:p>
    <w:p>
      <w:pPr>
        <w:widowControl/>
      </w:pPr>
      <w:r>
        <w:rPr/>
        <w:t>Authentic source audio does not mean exported samples are identical to raw input samples. Alignment, resampling, level adjustment and crossfades are signal processing. Provenance should identify both the source interval and its processing.</w:t>
      </w:r>
    </w:p>
    <w:p w14:paraId="49939695" w14:textId="77777777">
      <w:pPr>
        <w:pStyle w:val="Punktlista"/>
        <w:widowControl/>
      </w:pPr>
      <w:r>
        <w:rPr/>
        <w:t>At least three sources are the preferred starting point because two often cannot establish which is damaged.</w:t>
      </w:r>
    </w:p>
    <w:p w14:paraId="3E04A6E0" w14:textId="77777777">
      <w:pPr>
        <w:pStyle w:val="Punktlista"/>
        <w:widowControl/>
      </w:pPr>
      <w:r>
        <w:rPr/>
        <w:t>Three sources are a minimum, not a guarantee of a perfect result.</w:t>
      </w:r>
    </w:p>
    <w:p w14:paraId="5382A38F" w14:textId="77777777">
      <w:pPr>
        <w:pStyle w:val="Punktlista"/>
        <w:widowControl/>
      </w:pPr>
      <w:r>
        <w:rPr/>
        <w:t>A fourth, fifth and sixth source can be assessed simultaneously. Preserve original files and earlier results. More sources may strengthen evidence but do not guarantee repairability of any particular interval.</w:t>
      </w:r>
    </w:p>
    <w:p w14:paraId="55C98A07" w14:textId="77777777">
      <w:pPr>
        <w:pStyle w:val="Punktlista"/>
        <w:widowControl/>
      </w:pPr>
      <w:r>
        <w:rPr/>
        <w:t>Where all copies share damage at the same point, preserve or flag uncertainty. Defects in the original recording, cutting or pressing chain may appear in every copy and cannot be expected to disappear through source replacement.</w:t>
      </w:r>
    </w:p>
    <w:p>
      <w:pPr>
        <w:pStyle w:val="Rubrik2"/>
        <w:keepNext/>
        <w:widowControl/>
      </w:pPr>
      <w:r>
        <w:rPr/>
        <w:t>10A Current handling of multiple sources</w:t>
      </w:r>
    </w:p>
    <w:p>
      <w:pPr>
        <w:widowControl/>
      </w:pPr>
      <w:r>
        <w:rPr/>
        <w:t>The engine first assesses source quality and alignability and proposes Master and source roles. Good audio quality does not automatically imply reliable timing alignment. The user can select a Master and provide a coarse start hint; acceptance still requires verification.</w:t>
      </w:r>
    </w:p>
    <w:p>
      <w:pPr>
        <w:widowControl/>
      </w:pPr>
      <w:r>
        <w:rPr/>
        <w:t>All admitted sources may contribute to local agreement in the same run. One donor supplies replacement audio; other verified sources act as witnesses. Rejected sources are not used for automatic repairs. Reserve and rejected roles must remain distinct.</w:t>
      </w:r>
    </w:p>
    <w:p>
      <w:pPr>
        <w:widowControl/>
      </w:pPr>
      <w:r>
        <w:rPr/>
        <w:t>A working restoration is a derivative, never a new independent copy. Each interval must track contributing originals, including crossfades. An original must not corroborate its own previous contribution as new evidence. Earlier results should not be re-imported as independent raw sources in the same evidence chain.</w:t>
      </w:r>
    </w:p>
    <w:p>
      <w:pPr>
        <w:widowControl/>
      </w:pPr>
      <w:r>
        <w:rPr/>
        <w:t>Successive donor pairs are not yet a validated multi-stage archive model. Such a model would require interval-level provenance to avoid counting previous contributions as independent evidence.</w:t>
      </w:r>
    </w:p>
    <w:p>
      <w:pPr>
        <w:widowControl/>
      </w:pPr>
      <w:r>
        <w:rPr/>
        <w:t>Save source order, parameters, original Master and decisions. Later independent sources may justify reassessment, but more sources or more passes do not themselves prove improvement.</w:t>
      </w:r>
    </w:p>
    <w:p w14:paraId="2FC109A8" w14:textId="77777777">
      <w:pPr>
        <w:pStyle w:val="Rubrik1"/>
        <w:keepNext/>
        <w:widowControl/>
      </w:pPr>
      <w:r>
        <w:rPr/>
        <w:t>11 Provenance and decision maps</w:t>
      </w:r>
    </w:p>
    <w:p w14:paraId="1B9C4714" w14:textId="77777777">
      <w:pPr>
        <w:widowControl/>
      </w:pPr>
      <w:r>
        <w:rPr/>
        <w:t>Each restored output should have a machine-readable decision map identifying the selected source for each block, estimated relative delay, timing confidence and relevant quality metrics. This supports reproduction and review.</w:t>
      </w:r>
    </w:p>
    <w:p w14:paraId="555F83F6" w14:textId="77777777">
      <w:pPr>
        <w:widowControl/>
      </w:pPr>
      <w:r>
        <w:rPr/>
        <w:t>Source integrity is primarily addressed through provenance. RAW TRANSFER, PROCESSED and UNKNOWN are proposed archive classes, not automatic certifications issued by the current program. Prioritise documented raw transfers; processed or uncertain sources require an explicit decision.</w:t>
      </w:r>
    </w:p>
    <w:p w14:paraId="4C5648F6" w14:textId="77777777">
      <w:pPr>
        <w:widowControl/>
      </w:pPr>
      <w:r>
        <w:rPr/>
        <w:t>Store SHA-256 and source metadata such as physical copy ID, matrix/run-out, cartridge/stylus, ADC, capture speed, sample rate, bit depth and date. A checksum establishes file integrity, not an absence of processing. Check codecs separately: the .m4a extension does not establish lossless ALAC.</w:t>
      </w:r>
    </w:p>
    <w:p>
      <w:pPr>
        <w:widowControl/>
      </w:pPr>
      <w:r>
        <w:rPr/>
        <w:t>The forensic prototype checks metadata indicators and short, unusually linear sample sequences in selected PCM intervals. It can flag suspicion but cannot prove prior de-clicking or certify a raw file. Ultrasonic spectral, LPC and group-delay analyses remain development ideas, not validated detectors. Preserve original metadata as evidence.</w:t>
      </w:r>
    </w:p>
    <w:tbl>
      <w:tblPr>
        <w:tblStyle w:val="Tabellrutnt"/>
        <w:tblW w:w="0" w:type="auto"/>
        <w:jc w:val="center"/>
        <w:tblLook w:val="04A0" w:firstRow="1" w:lastRow="0" w:firstColumn="1" w:lastColumn="0" w:noHBand="0" w:noVBand="1"/>
      </w:tblPr>
      <w:tblGrid>
        <w:gridCol w:w="2835"/>
        <w:gridCol w:w="6520"/>
      </w:tblGrid>
      <w:tr w14:paraId="4BC73C71" w14:textId="77777777">
        <w:trPr>
          <w:jc w:val="center"/>
          <w:cantSplit/>
          <w:tblHeader/>
          <w:cantSplit/>
          <w:tblHeader/>
        </w:trPr>
        <w:tc>
          <w:tcPr>
            <w:tcW w:w="2835" w:type="dxa"/>
            <w:shd w:val="clear" w:color="auto" w:fill="D9EAF7"/>
            <w:vAlign w:val="center"/>
            <w:tcBorders>
              <w:top w:val="single" w:sz="6" w:color="D9D9D9"/>
              <w:left w:val="single" w:sz="6" w:color="D9D9D9"/>
              <w:bottom w:val="single" w:sz="6" w:color="D9D9D9"/>
              <w:right w:val="single" w:sz="6" w:color="D9D9D9"/>
            </w:tcBorders>
            <w:tcBorders>
              <w:top w:val="single" w:sz="4" w:color="D9D9D9"/>
              <w:left w:val="single" w:sz="4" w:color="D9D9D9"/>
              <w:bottom w:val="single" w:sz="4" w:color="D9D9D9"/>
              <w:right w:val="single" w:sz="4" w:color="D9D9D9"/>
            </w:tcBorders>
          </w:tcPr>
          <w:p>
            <w:pPr>
              <w:spacing w:after="60" w:before="60"/>
            </w:pPr>
            <w:r>
              <w:rPr>
                <w:b/>
                <w:sz w:val="19"/>
              </w:rPr>
              <w:t>Field</w:t>
            </w:r>
          </w:p>
        </w:tc>
        <w:tc>
          <w:tcPr>
            <w:tcW w:w="6520" w:type="dxa"/>
            <w:shd w:val="clear" w:color="auto" w:fill="D9EAF7"/>
            <w:vAlign w:val="center"/>
            <w:tcBorders>
              <w:top w:val="single" w:sz="6" w:color="D9D9D9"/>
              <w:left w:val="single" w:sz="6" w:color="D9D9D9"/>
              <w:bottom w:val="single" w:sz="6" w:color="D9D9D9"/>
              <w:right w:val="single" w:sz="6" w:color="D9D9D9"/>
            </w:tcBorders>
            <w:tcBorders>
              <w:top w:val="single" w:sz="4" w:color="D9D9D9"/>
              <w:left w:val="single" w:sz="4" w:color="D9D9D9"/>
              <w:bottom w:val="single" w:sz="4" w:color="D9D9D9"/>
              <w:right w:val="single" w:sz="4" w:color="D9D9D9"/>
            </w:tcBorders>
          </w:tcPr>
          <w:p>
            <w:pPr>
              <w:spacing w:after="60" w:before="60"/>
            </w:pPr>
            <w:r>
              <w:rPr>
                <w:b/>
                <w:sz w:val="19"/>
              </w:rPr>
              <w:t>Example or meaning</w:t>
            </w:r>
          </w:p>
        </w:tc>
      </w:tr>
      <w:tr w14:paraId="75A8309B" w14:textId="77777777">
        <w:trPr>
          <w:jc w:val="center"/>
          <w:cantSplit/>
          <w:cantSplit/>
        </w:trPr>
        <w:tc>
          <w:tcPr>
            <w:tcW w:w="2835" w:type="dxa"/>
            <w:tcBorders>
              <w:top w:val="single" w:sz="6" w:color="D9D9D9"/>
              <w:left w:val="single" w:sz="6" w:color="D9D9D9"/>
              <w:bottom w:val="single" w:sz="6" w:color="D9D9D9"/>
              <w:right w:val="single" w:sz="6" w:color="D9D9D9"/>
            </w:tcBorders>
            <w:tcBorders>
              <w:top w:val="single" w:sz="4" w:color="D9D9D9"/>
              <w:left w:val="single" w:sz="4" w:color="D9D9D9"/>
              <w:bottom w:val="single" w:sz="4" w:color="D9D9D9"/>
              <w:right w:val="single" w:sz="4" w:color="D9D9D9"/>
            </w:tcBorders>
          </w:tcPr>
          <w:p>
            <w:pPr>
              <w:spacing w:after="60" w:before="60"/>
            </w:pPr>
            <w:r>
              <w:rPr>
                <w:b w:val="0"/>
                <w:sz w:val="19"/>
              </w:rPr>
              <w:t>Master ID</w:t>
            </w:r>
          </w:p>
        </w:tc>
        <w:tc>
          <w:tcPr>
            <w:tcW w:w="6520" w:type="dxa"/>
            <w:tcBorders>
              <w:top w:val="single" w:sz="6" w:color="D9D9D9"/>
              <w:left w:val="single" w:sz="6" w:color="D9D9D9"/>
              <w:bottom w:val="single" w:sz="6" w:color="D9D9D9"/>
              <w:right w:val="single" w:sz="6" w:color="D9D9D9"/>
            </w:tcBorders>
            <w:tcBorders>
              <w:top w:val="single" w:sz="4" w:color="D9D9D9"/>
              <w:left w:val="single" w:sz="4" w:color="D9D9D9"/>
              <w:bottom w:val="single" w:sz="4" w:color="D9D9D9"/>
              <w:right w:val="single" w:sz="4" w:color="D9D9D9"/>
            </w:tcBorders>
          </w:tcPr>
          <w:p>
            <w:pPr>
              <w:spacing w:after="60" w:before="60"/>
            </w:pPr>
            <w:r>
              <w:rPr>
                <w:b w:val="0"/>
                <w:sz w:val="19"/>
              </w:rPr>
              <w:t>Unique restoration-version identifier</w:t>
            </w:r>
          </w:p>
        </w:tc>
      </w:tr>
      <w:tr w14:paraId="35A4D305" w14:textId="77777777">
        <w:trPr>
          <w:jc w:val="center"/>
          <w:cantSplit/>
          <w:cantSplit/>
        </w:trPr>
        <w:tc>
          <w:tcPr>
            <w:tcW w:w="2835" w:type="dxa"/>
            <w:tcBorders>
              <w:top w:val="single" w:sz="6" w:color="D9D9D9"/>
              <w:left w:val="single" w:sz="6" w:color="D9D9D9"/>
              <w:bottom w:val="single" w:sz="6" w:color="D9D9D9"/>
              <w:right w:val="single" w:sz="6" w:color="D9D9D9"/>
            </w:tcBorders>
            <w:tcBorders>
              <w:top w:val="single" w:sz="4" w:color="D9D9D9"/>
              <w:left w:val="single" w:sz="4" w:color="D9D9D9"/>
              <w:bottom w:val="single" w:sz="4" w:color="D9D9D9"/>
              <w:right w:val="single" w:sz="4" w:color="D9D9D9"/>
            </w:tcBorders>
          </w:tcPr>
          <w:p>
            <w:pPr>
              <w:spacing w:after="60" w:before="60"/>
            </w:pPr>
            <w:r>
              <w:rPr>
                <w:b w:val="0"/>
                <w:sz w:val="19"/>
              </w:rPr>
              <w:t>Source ID</w:t>
            </w:r>
          </w:p>
        </w:tc>
        <w:tc>
          <w:tcPr>
            <w:tcW w:w="6520" w:type="dxa"/>
            <w:tcBorders>
              <w:top w:val="single" w:sz="6" w:color="D9D9D9"/>
              <w:left w:val="single" w:sz="6" w:color="D9D9D9"/>
              <w:bottom w:val="single" w:sz="6" w:color="D9D9D9"/>
              <w:right w:val="single" w:sz="6" w:color="D9D9D9"/>
            </w:tcBorders>
            <w:tcBorders>
              <w:top w:val="single" w:sz="4" w:color="D9D9D9"/>
              <w:left w:val="single" w:sz="4" w:color="D9D9D9"/>
              <w:bottom w:val="single" w:sz="4" w:color="D9D9D9"/>
              <w:right w:val="single" w:sz="4" w:color="D9D9D9"/>
            </w:tcBorders>
          </w:tcPr>
          <w:p>
            <w:pPr>
              <w:spacing w:after="60" w:before="60"/>
            </w:pPr>
            <w:r>
              <w:rPr>
                <w:b w:val="0"/>
                <w:sz w:val="19"/>
              </w:rPr>
              <w:t>Source A, source B, source C</w:t>
            </w:r>
          </w:p>
        </w:tc>
      </w:tr>
      <w:tr w14:paraId="5897647D" w14:textId="77777777">
        <w:trPr>
          <w:jc w:val="center"/>
          <w:cantSplit/>
          <w:cantSplit/>
        </w:trPr>
        <w:tc>
          <w:tcPr>
            <w:tcW w:w="2835" w:type="dxa"/>
            <w:tcBorders>
              <w:top w:val="single" w:sz="6" w:color="D9D9D9"/>
              <w:left w:val="single" w:sz="6" w:color="D9D9D9"/>
              <w:bottom w:val="single" w:sz="6" w:color="D9D9D9"/>
              <w:right w:val="single" w:sz="6" w:color="D9D9D9"/>
            </w:tcBorders>
            <w:tcBorders>
              <w:top w:val="single" w:sz="4" w:color="D9D9D9"/>
              <w:left w:val="single" w:sz="4" w:color="D9D9D9"/>
              <w:bottom w:val="single" w:sz="4" w:color="D9D9D9"/>
              <w:right w:val="single" w:sz="4" w:color="D9D9D9"/>
            </w:tcBorders>
          </w:tcPr>
          <w:p>
            <w:pPr>
              <w:spacing w:after="60" w:before="60"/>
            </w:pPr>
            <w:r>
              <w:rPr>
                <w:b w:val="0"/>
                <w:sz w:val="19"/>
              </w:rPr>
              <w:t>Interval</w:t>
            </w:r>
          </w:p>
        </w:tc>
        <w:tc>
          <w:tcPr>
            <w:tcW w:w="6520" w:type="dxa"/>
            <w:tcBorders>
              <w:top w:val="single" w:sz="6" w:color="D9D9D9"/>
              <w:left w:val="single" w:sz="6" w:color="D9D9D9"/>
              <w:bottom w:val="single" w:sz="6" w:color="D9D9D9"/>
              <w:right w:val="single" w:sz="6" w:color="D9D9D9"/>
            </w:tcBorders>
            <w:tcBorders>
              <w:top w:val="single" w:sz="4" w:color="D9D9D9"/>
              <w:left w:val="single" w:sz="4" w:color="D9D9D9"/>
              <w:bottom w:val="single" w:sz="4" w:color="D9D9D9"/>
              <w:right w:val="single" w:sz="4" w:color="D9D9D9"/>
            </w:tcBorders>
          </w:tcPr>
          <w:p>
            <w:pPr>
              <w:spacing w:after="60" w:before="60"/>
            </w:pPr>
            <w:r>
              <w:rPr>
                <w:b w:val="0"/>
                <w:sz w:val="19"/>
              </w:rPr>
              <w:t>Start/end or sample range</w:t>
            </w:r>
          </w:p>
        </w:tc>
      </w:tr>
      <w:tr w14:paraId="41AB65AB" w14:textId="77777777">
        <w:trPr>
          <w:jc w:val="center"/>
          <w:cantSplit/>
          <w:cantSplit/>
        </w:trPr>
        <w:tc>
          <w:tcPr>
            <w:tcW w:w="2835" w:type="dxa"/>
            <w:tcBorders>
              <w:top w:val="single" w:sz="6" w:color="D9D9D9"/>
              <w:left w:val="single" w:sz="6" w:color="D9D9D9"/>
              <w:bottom w:val="single" w:sz="6" w:color="D9D9D9"/>
              <w:right w:val="single" w:sz="6" w:color="D9D9D9"/>
            </w:tcBorders>
            <w:tcBorders>
              <w:top w:val="single" w:sz="4" w:color="D9D9D9"/>
              <w:left w:val="single" w:sz="4" w:color="D9D9D9"/>
              <w:bottom w:val="single" w:sz="4" w:color="D9D9D9"/>
              <w:right w:val="single" w:sz="4" w:color="D9D9D9"/>
            </w:tcBorders>
          </w:tcPr>
          <w:p>
            <w:pPr>
              <w:spacing w:after="60" w:before="60"/>
            </w:pPr>
            <w:r>
              <w:rPr>
                <w:b w:val="0"/>
                <w:sz w:val="19"/>
              </w:rPr>
              <w:t>Selected source</w:t>
            </w:r>
          </w:p>
        </w:tc>
        <w:tc>
          <w:tcPr>
            <w:tcW w:w="6520" w:type="dxa"/>
            <w:tcBorders>
              <w:top w:val="single" w:sz="6" w:color="D9D9D9"/>
              <w:left w:val="single" w:sz="6" w:color="D9D9D9"/>
              <w:bottom w:val="single" w:sz="6" w:color="D9D9D9"/>
              <w:right w:val="single" w:sz="6" w:color="D9D9D9"/>
            </w:tcBorders>
            <w:tcBorders>
              <w:top w:val="single" w:sz="4" w:color="D9D9D9"/>
              <w:left w:val="single" w:sz="4" w:color="D9D9D9"/>
              <w:bottom w:val="single" w:sz="4" w:color="D9D9D9"/>
              <w:right w:val="single" w:sz="4" w:color="D9D9D9"/>
            </w:tcBorders>
          </w:tcPr>
          <w:p>
            <w:pPr>
              <w:spacing w:after="60" w:before="60"/>
            </w:pPr>
            <w:r>
              <w:rPr>
                <w:b w:val="0"/>
                <w:sz w:val="19"/>
              </w:rPr>
              <w:t>Physical transfer supplying the audio</w:t>
            </w:r>
          </w:p>
        </w:tc>
      </w:tr>
      <w:tr w14:paraId="752CDCB5" w14:textId="77777777">
        <w:trPr>
          <w:jc w:val="center"/>
          <w:cantSplit/>
          <w:cantSplit/>
        </w:trPr>
        <w:tc>
          <w:tcPr>
            <w:tcW w:w="2835" w:type="dxa"/>
            <w:tcBorders>
              <w:top w:val="single" w:sz="6" w:color="D9D9D9"/>
              <w:left w:val="single" w:sz="6" w:color="D9D9D9"/>
              <w:bottom w:val="single" w:sz="6" w:color="D9D9D9"/>
              <w:right w:val="single" w:sz="6" w:color="D9D9D9"/>
            </w:tcBorders>
            <w:tcBorders>
              <w:top w:val="single" w:sz="4" w:color="D9D9D9"/>
              <w:left w:val="single" w:sz="4" w:color="D9D9D9"/>
              <w:bottom w:val="single" w:sz="4" w:color="D9D9D9"/>
              <w:right w:val="single" w:sz="4" w:color="D9D9D9"/>
            </w:tcBorders>
          </w:tcPr>
          <w:p>
            <w:pPr>
              <w:spacing w:after="60" w:before="60"/>
            </w:pPr>
            <w:r>
              <w:rPr>
                <w:b w:val="0"/>
                <w:sz w:val="19"/>
              </w:rPr>
              <w:t>Delay and speed state</w:t>
            </w:r>
          </w:p>
        </w:tc>
        <w:tc>
          <w:tcPr>
            <w:tcW w:w="6520" w:type="dxa"/>
            <w:tcBorders>
              <w:top w:val="single" w:sz="6" w:color="D9D9D9"/>
              <w:left w:val="single" w:sz="6" w:color="D9D9D9"/>
              <w:bottom w:val="single" w:sz="6" w:color="D9D9D9"/>
              <w:right w:val="single" w:sz="6" w:color="D9D9D9"/>
            </w:tcBorders>
            <w:tcBorders>
              <w:top w:val="single" w:sz="4" w:color="D9D9D9"/>
              <w:left w:val="single" w:sz="4" w:color="D9D9D9"/>
              <w:bottom w:val="single" w:sz="4" w:color="D9D9D9"/>
              <w:right w:val="single" w:sz="4" w:color="D9D9D9"/>
            </w:tcBorders>
          </w:tcPr>
          <w:p>
            <w:pPr>
              <w:spacing w:after="60" w:before="60"/>
            </w:pPr>
            <w:r>
              <w:rPr>
                <w:b w:val="0"/>
                <w:sz w:val="19"/>
              </w:rPr>
              <w:t>Current timing correction</w:t>
            </w:r>
          </w:p>
        </w:tc>
      </w:tr>
      <w:tr w14:paraId="265785A0" w14:textId="77777777">
        <w:trPr>
          <w:jc w:val="center"/>
          <w:cantSplit/>
          <w:cantSplit/>
        </w:trPr>
        <w:tc>
          <w:tcPr>
            <w:tcW w:w="2835" w:type="dxa"/>
            <w:tcBorders>
              <w:top w:val="single" w:sz="6" w:color="D9D9D9"/>
              <w:left w:val="single" w:sz="6" w:color="D9D9D9"/>
              <w:bottom w:val="single" w:sz="6" w:color="D9D9D9"/>
              <w:right w:val="single" w:sz="6" w:color="D9D9D9"/>
            </w:tcBorders>
            <w:tcBorders>
              <w:top w:val="single" w:sz="4" w:color="D9D9D9"/>
              <w:left w:val="single" w:sz="4" w:color="D9D9D9"/>
              <w:bottom w:val="single" w:sz="4" w:color="D9D9D9"/>
              <w:right w:val="single" w:sz="4" w:color="D9D9D9"/>
            </w:tcBorders>
          </w:tcPr>
          <w:p>
            <w:pPr>
              <w:spacing w:after="60" w:before="60"/>
            </w:pPr>
            <w:r>
              <w:rPr>
                <w:b w:val="0"/>
                <w:sz w:val="19"/>
              </w:rPr>
              <w:t>Confidence</w:t>
            </w:r>
          </w:p>
        </w:tc>
        <w:tc>
          <w:tcPr>
            <w:tcW w:w="6520" w:type="dxa"/>
            <w:tcBorders>
              <w:top w:val="single" w:sz="6" w:color="D9D9D9"/>
              <w:left w:val="single" w:sz="6" w:color="D9D9D9"/>
              <w:bottom w:val="single" w:sz="6" w:color="D9D9D9"/>
              <w:right w:val="single" w:sz="6" w:color="D9D9D9"/>
            </w:tcBorders>
            <w:tcBorders>
              <w:top w:val="single" w:sz="4" w:color="D9D9D9"/>
              <w:left w:val="single" w:sz="4" w:color="D9D9D9"/>
              <w:bottom w:val="single" w:sz="4" w:color="D9D9D9"/>
              <w:right w:val="single" w:sz="4" w:color="D9D9D9"/>
            </w:tcBorders>
          </w:tcPr>
          <w:p>
            <w:pPr>
              <w:spacing w:after="60" w:before="60"/>
            </w:pPr>
            <w:r>
              <w:rPr>
                <w:b w:val="0"/>
                <w:sz w:val="19"/>
              </w:rPr>
              <w:t>Estimated reliability of alignment and source selection</w:t>
            </w:r>
          </w:p>
        </w:tc>
      </w:tr>
      <w:tr w14:paraId="38AE1EB6" w14:textId="77777777">
        <w:trPr>
          <w:jc w:val="center"/>
          <w:cantSplit/>
          <w:cantSplit/>
        </w:trPr>
        <w:tc>
          <w:tcPr>
            <w:tcW w:w="2835" w:type="dxa"/>
            <w:tcBorders>
              <w:top w:val="single" w:sz="6" w:color="D9D9D9"/>
              <w:left w:val="single" w:sz="6" w:color="D9D9D9"/>
              <w:bottom w:val="single" w:sz="6" w:color="D9D9D9"/>
              <w:right w:val="single" w:sz="6" w:color="D9D9D9"/>
            </w:tcBorders>
            <w:tcBorders>
              <w:top w:val="single" w:sz="4" w:color="D9D9D9"/>
              <w:left w:val="single" w:sz="4" w:color="D9D9D9"/>
              <w:bottom w:val="single" w:sz="4" w:color="D9D9D9"/>
              <w:right w:val="single" w:sz="4" w:color="D9D9D9"/>
            </w:tcBorders>
          </w:tcPr>
          <w:p>
            <w:pPr>
              <w:spacing w:after="60" w:before="60"/>
            </w:pPr>
            <w:r>
              <w:rPr>
                <w:b w:val="0"/>
                <w:sz w:val="19"/>
              </w:rPr>
              <w:t>Algorithm version</w:t>
            </w:r>
          </w:p>
        </w:tc>
        <w:tc>
          <w:tcPr>
            <w:tcW w:w="6520" w:type="dxa"/>
            <w:tcBorders>
              <w:top w:val="single" w:sz="6" w:color="D9D9D9"/>
              <w:left w:val="single" w:sz="6" w:color="D9D9D9"/>
              <w:bottom w:val="single" w:sz="6" w:color="D9D9D9"/>
              <w:right w:val="single" w:sz="6" w:color="D9D9D9"/>
            </w:tcBorders>
            <w:tcBorders>
              <w:top w:val="single" w:sz="4" w:color="D9D9D9"/>
              <w:left w:val="single" w:sz="4" w:color="D9D9D9"/>
              <w:bottom w:val="single" w:sz="4" w:color="D9D9D9"/>
              <w:right w:val="single" w:sz="4" w:color="D9D9D9"/>
            </w:tcBorders>
          </w:tcPr>
          <w:p>
            <w:pPr>
              <w:spacing w:after="60" w:before="60"/>
            </w:pPr>
            <w:r>
              <w:rPr>
                <w:b w:val="0"/>
                <w:sz w:val="19"/>
              </w:rPr>
              <w:t>Exact Master-2000 engine version</w:t>
            </w:r>
          </w:p>
        </w:tc>
      </w:tr>
      <w:tr w14:paraId="6778BAB6" w14:textId="77777777">
        <w:trPr>
          <w:jc w:val="center"/>
          <w:cantSplit/>
          <w:cantSplit/>
        </w:trPr>
        <w:tc>
          <w:tcPr>
            <w:tcW w:w="2835" w:type="dxa"/>
            <w:tcBorders>
              <w:top w:val="single" w:sz="6" w:color="D9D9D9"/>
              <w:left w:val="single" w:sz="6" w:color="D9D9D9"/>
              <w:bottom w:val="single" w:sz="6" w:color="D9D9D9"/>
              <w:right w:val="single" w:sz="6" w:color="D9D9D9"/>
            </w:tcBorders>
            <w:tcBorders>
              <w:top w:val="single" w:sz="4" w:color="D9D9D9"/>
              <w:left w:val="single" w:sz="4" w:color="D9D9D9"/>
              <w:bottom w:val="single" w:sz="4" w:color="D9D9D9"/>
              <w:right w:val="single" w:sz="4" w:color="D9D9D9"/>
            </w:tcBorders>
          </w:tcPr>
          <w:p>
            <w:pPr>
              <w:spacing w:after="60" w:before="60"/>
            </w:pPr>
            <w:r>
              <w:rPr>
                <w:b w:val="0"/>
                <w:sz w:val="19"/>
              </w:rPr>
              <w:t>Hash</w:t>
            </w:r>
          </w:p>
        </w:tc>
        <w:tc>
          <w:tcPr>
            <w:tcW w:w="6520" w:type="dxa"/>
            <w:tcBorders>
              <w:top w:val="single" w:sz="6" w:color="D9D9D9"/>
              <w:left w:val="single" w:sz="6" w:color="D9D9D9"/>
              <w:bottom w:val="single" w:sz="6" w:color="D9D9D9"/>
              <w:right w:val="single" w:sz="6" w:color="D9D9D9"/>
            </w:tcBorders>
            <w:tcBorders>
              <w:top w:val="single" w:sz="4" w:color="D9D9D9"/>
              <w:left w:val="single" w:sz="4" w:color="D9D9D9"/>
              <w:bottom w:val="single" w:sz="4" w:color="D9D9D9"/>
              <w:right w:val="single" w:sz="4" w:color="D9D9D9"/>
            </w:tcBorders>
          </w:tcPr>
          <w:p>
            <w:pPr>
              <w:spacing w:after="60" w:before="60"/>
            </w:pPr>
            <w:r>
              <w:rPr>
                <w:b w:val="0"/>
                <w:sz w:val="19"/>
              </w:rPr>
              <w:t>Integrity check for raw sources and result</w:t>
            </w:r>
          </w:p>
        </w:tc>
      </w:tr>
    </w:tbl>
    <w:p w14:paraId="1D9FC225" w14:textId="77777777">
      <w:pPr>
        <w:widowControl/>
      </w:pPr>
    </w:p>
    <w:p w14:paraId="14E7B9BF" w14:textId="77777777">
      <w:pPr>
        <w:pStyle w:val="Rubrik1"/>
        <w:keepNext/>
        <w:widowControl/>
      </w:pPr>
      <w:r>
        <w:rPr/>
        <w:t>12 Archive model</w:t>
      </w:r>
    </w:p>
    <w:p w14:paraId="18CD7FA0" w14:textId="77777777">
      <w:pPr>
        <w:widowControl/>
      </w:pPr>
      <w:r>
        <w:rPr/>
        <w:t>Treat raw sources as primary evidence and the restored output as a derivative. A completed restoration must never be the only surviving representation.</w:t>
      </w:r>
    </w:p>
    <w:p w14:paraId="1EA5C92F" w14:textId="77777777">
      <w:pPr>
        <w:pStyle w:val="Punktlista"/>
        <w:widowControl/>
      </w:pPr>
      <w:r>
        <w:rPr/>
        <w:t>Preserve each source's raw WAV as primary capture evidence. Bit-identical lossless FLAC/ALAC may provide compressed representations after codec and integrity/provenance verification.</w:t>
      </w:r>
    </w:p>
    <w:p w14:paraId="5923E26B" w14:textId="77777777">
      <w:pPr>
        <w:pStyle w:val="Punktlista"/>
        <w:widowControl/>
      </w:pPr>
      <w:r>
        <w:rPr/>
        <w:t>Photographs and identifying metadata.</w:t>
      </w:r>
    </w:p>
    <w:p w14:paraId="50B2149D" w14:textId="77777777">
      <w:pPr>
        <w:pStyle w:val="Punktlista"/>
        <w:widowControl/>
      </w:pPr>
      <w:r>
        <w:rPr/>
        <w:t>Technical capture metadata.</w:t>
      </w:r>
    </w:p>
    <w:p w14:paraId="5ACD9A88" w14:textId="77777777">
      <w:pPr>
        <w:pStyle w:val="Punktlista"/>
        <w:widowControl/>
      </w:pPr>
      <w:r>
        <w:rPr/>
        <w:t>Algorithm version and parameters.</w:t>
      </w:r>
    </w:p>
    <w:p w14:paraId="1CAE48E5" w14:textId="77777777">
      <w:pPr>
        <w:pStyle w:val="Punktlista"/>
        <w:widowControl/>
      </w:pPr>
      <w:r>
        <w:rPr/>
        <w:t>Decision maps and provenance.</w:t>
      </w:r>
    </w:p>
    <w:p w14:paraId="652F4BD6" w14:textId="77777777">
      <w:pPr>
        <w:pStyle w:val="Punktlista"/>
        <w:widowControl/>
      </w:pPr>
      <w:r>
        <w:rPr/>
        <w:t>Output versions v1, v2 and later, with a clear version history.</w:t>
      </w:r>
    </w:p>
    <w:p w14:paraId="627D37FE" w14:textId="77777777">
      <w:pPr>
        <w:widowControl/>
      </w:pPr>
      <w:r>
        <w:rPr/>
        <w:t>This enables progressive preservation: one copy can be archived, two compared, three assessed for reconstruction, and additional copies may improve results.</w:t>
      </w:r>
    </w:p>
    <w:p w14:paraId="78D9F0A6" w14:textId="77777777">
      <w:pPr>
        <w:pStyle w:val="Rubrik1"/>
        <w:keepNext/>
        <w:widowControl/>
      </w:pPr>
      <w:r>
        <w:rPr/>
        <w:t>13 Rights and distribution</w:t>
      </w:r>
    </w:p>
    <w:p w14:paraId="5BF2074A" w14:textId="77777777">
      <w:pPr>
        <w:widowControl/>
      </w:pPr>
      <w:r>
        <w:rPr/>
        <w:t>Technical preservation and public distribution are separate questions. Owning a physical copy and having private-copying rights do not automatically authorise a central service to distribute a protected work. The architecture must not assume that old material is automatically free of rights.</w:t>
      </w:r>
    </w:p>
    <w:p w14:paraId="6F0E8CCE" w14:textId="77777777">
      <w:pPr>
        <w:pStyle w:val="Punktlista"/>
        <w:widowControl/>
      </w:pPr>
      <w:r>
        <w:rPr/>
        <w:t>Record rights status separately for the composition and the sound recording.</w:t>
      </w:r>
    </w:p>
    <w:p w14:paraId="1C3C9C65" w14:textId="77777777">
      <w:pPr>
        <w:pStyle w:val="Punktlista"/>
        <w:widowControl/>
      </w:pPr>
      <w:r>
        <w:rPr/>
        <w:t>Material authorised for distribution may be made available as a restored output.</w:t>
      </w:r>
    </w:p>
    <w:p w14:paraId="5C489559" w14:textId="77777777">
      <w:pPr>
        <w:pStyle w:val="Punktlista"/>
        <w:widowControl/>
      </w:pPr>
      <w:r>
        <w:rPr/>
        <w:t>Keep material with uncertain or remaining rights outside automatic public downloads. Storage and processing also require an applicable legal basis; encryption or a research designation does not replace necessary permissions.</w:t>
      </w:r>
    </w:p>
    <w:p w14:paraId="67965C2F" w14:textId="77777777">
      <w:pPr>
        <w:pStyle w:val="Punktlista"/>
        <w:widowControl/>
      </w:pPr>
      <w:r>
        <w:rPr/>
        <w:t>Handle rights claims per title without disrupting the rest of the archive.</w:t>
      </w:r>
    </w:p>
    <w:p w14:paraId="0E5B63A6" w14:textId="77777777">
      <w:pPr>
        <w:widowControl/>
      </w:pPr>
      <w:r>
        <w:rPr/>
        <w:t>Master-2000 is intended as a non-commercial preservation project. Its purpose does not depend on a revenue model: it aims to preserve historical audio while sufficient physical sources survive.</w:t>
      </w:r>
    </w:p>
    <w:p w14:paraId="630A9259" w14:textId="77777777">
      <w:pPr>
        <w:pStyle w:val="Rubrik1"/>
        <w:keepNext/>
        <w:widowControl/>
      </w:pPr>
      <w:r>
        <w:rPr/>
        <w:t>14 Local software and future collaboration</w:t>
      </w:r>
    </w:p>
    <w:p w14:paraId="279D3F45" w14:textId="77777777">
      <w:pPr>
        <w:widowControl/>
      </w:pPr>
      <w:r>
        <w:rPr/>
        <w:t>The current approach is local software, simplifying large files, computation and rights management. A future collaboration platform could initially handle metadata, pressing identification, checksums and identification of titles with multiple independent copies.</w:t>
      </w:r>
    </w:p>
    <w:p w14:paraId="5690F2DC" w14:textId="77777777">
      <w:pPr>
        <w:widowControl/>
      </w:pPr>
      <w:r>
        <w:rPr/>
        <w:t>One possible model would show whether a pressing has one, two, three or more registered sources and help collectors identify reconstruction candidates. Sharing raw files and restored outputs would then depend on the applicable rights.</w:t>
      </w:r>
    </w:p>
    <w:p w14:paraId="11C1D5FD" w14:textId="77777777">
      <w:pPr>
        <w:pStyle w:val="Rubrik1"/>
        <w:keepNext/>
        <w:widowControl/>
      </w:pPr>
      <w:r>
        <w:rPr/>
        <w:t>15 Software status</w:t>
      </w:r>
    </w:p>
    <w:p w14:paraId="543B0C3F" w14:textId="77777777">
      <w:pPr>
        <w:widowControl/>
      </w:pPr>
      <w:r>
        <w:rPr/>
        <w:t>The current package contains Master-2000 v0.3.3 build 4 (file version 0.3.3.4), using WinUI 3/C# and a C++ engine. Demo restrictions have been removed. The source is MIT-licensed with third-party notices. Development testing was performed on Windows. On 14 October 2026, the developer reported successful standalone operation on a computer without supporting files. This is a reported deployment test, not certification across all Windows configurations. Independent user testing remains welcome.</w:t>
      </w:r>
    </w:p>
    <w:p w14:paraId="7851B5B5" w14:textId="77777777">
      <w:pPr>
        <w:pStyle w:val="Punktlista"/>
        <w:widowControl/>
      </w:pPr>
      <w:r>
        <w:rPr/>
        <w:t>The restoration retains the Master when replacement cannot be justified. Local decisions use timing quality, damage indicators, source comparisons and local level/DC matching. Short transitions limit splice artefacts; post-checks can reject replacement. Class A means repair accepted by algorithm criteria, B means flagged and retained, and C means unchanged. These classes are not ground truth for every audible defect.</w:t>
      </w:r>
    </w:p>
    <w:p w14:paraId="71B4E560" w14:textId="77777777">
      <w:pPr>
        <w:pStyle w:val="Punktlista"/>
        <w:widowControl/>
      </w:pPr>
      <w:r>
        <w:rPr/>
        <w:t>Start alignment remains a key challenge, especially with worn shellac records. Later versions use multiple anchors and robust fitting of delay and drift. A manual coarse start hint helps searching; it is not a locked or verified correction. Local verification is required throughout the recording. A rejected source cannot become an automatic donor solely because the user adjusted its start.</w:t>
      </w:r>
    </w:p>
    <w:p w14:paraId="43D08132" w14:textId="77777777">
      <w:pPr>
        <w:pStyle w:val="Punktlista"/>
        <w:widowControl/>
      </w:pPr>
      <w:r>
        <w:rPr/>
        <w:t>An older real-vinyl test with v0.2.12/v0.2.14 produced 19,649 decisions: 19,394 from Master, 48 from source B and 207 from source C. Donor audio occupied approximately 0.50 s of 34.9 s. Listening suggested improvement. These figures apply only to that historical test and do not validate later engines or other material.</w:t>
      </w:r>
    </w:p>
    <w:p w14:paraId="30F9359B" w14:textId="77777777">
      <w:pPr>
        <w:pStyle w:val="Punktlista"/>
        <w:widowControl/>
      </w:pPr>
      <w:r>
        <w:rPr/>
        <w:t>Local C++ regressions supplement Windows testing. Fourteen native test programs passed in the current release line. The edge alignment regression passed again after build 4's integer conversion change. WinUI/MSVC was not built or run in the local Linux environment. A test suite verifies its test cases, not every possible audible defect.</w:t>
      </w:r>
    </w:p>
    <w:p w14:paraId="638A3800" w14:textId="77777777">
      <w:pPr>
        <w:pStyle w:val="Punktlista"/>
        <w:widowControl/>
      </w:pPr>
      <w:r>
        <w:rPr/>
        <w:t>The interface places Master at the top, remaining sources in full-height rows and Result at the bottom of a vertically scrollable area. A shared amplitude scale includes headroom for peaks. Roles are displayed explicitly. Phase progress is distinct from completion of the entire run. A fixed status row and restoration of vertical position reduce layout movement during zoom and horizontal navigation. The current build uses the final version label without a development banner.</w:t>
      </w:r>
    </w:p>
    <w:p>
      <w:pPr>
        <w:widowControl/>
      </w:pPr>
      <w:r>
        <w:rPr/>
        <w:t>Mono mode processes the two cartridge channels of a mono record using level/polarity matching and channel fusion. Stereo mode preserves both audio channels. Recorded and target playback RPM remain separate; speed correction changes duration and pitch. Do not correct an already corrected file again as though it remained at capture speed.</w:t>
      </w:r>
    </w:p>
    <w:p>
      <w:pPr>
        <w:pStyle w:val="Rubrik2"/>
        <w:keepNext/>
        <w:widowControl/>
      </w:pPr>
      <w:r>
        <w:rPr/>
        <w:t>15A Separate tools and experiments</w:t>
      </w:r>
    </w:p>
    <w:p>
      <w:pPr>
        <w:widowControl/>
      </w:pPr>
      <w:r>
        <w:rPr/>
        <w:t>Dual-2000 v0.1.1 is a separate two-source experiment. After timing and level matching, its engine locally selects the smoother signal and checks replacements and splices. It lacks Master's independent third source. Smoothness can also mean loss of a musical transient; this is not the same evidence level as Master-2000.</w:t>
      </w:r>
    </w:p>
    <w:p>
      <w:pPr>
        <w:widowControl/>
      </w:pPr>
      <w:r>
        <w:rPr/>
        <w:t>Listening to a historical two-source test was promising. The checked file was 129.74 s, mono, 96 kHz / 24 bits. Its maximum sample peak was -7.82 dBFS at 57.61 s; no samples reached digital full scale. This does not exclude earlier source clipping, other distortion or incorrect source changes.</w:t>
      </w:r>
    </w:p>
    <w:p>
      <w:pPr>
        <w:widowControl/>
      </w:pPr>
      <w:r>
        <w:rPr/>
        <w:t>Mono-78 v1.1a is a separate English-language mono and optional RPM conversion tool. Unchanged speed is the default. Target options are 77.92, 78.26, 78.00 RPM and a custom value, with recorded RPM entered separately. Channel matching or simple (L+R)/2 averaging is available, with optional one-sided channel repair. Output is 24-bit PCM WAV at the original sample rate. The tool does not compare record copies and has narrower format support than the main application.</w:t>
      </w:r>
    </w:p>
    <w:p>
      <w:pPr>
        <w:pStyle w:val="Rubrik2"/>
        <w:keepNext/>
        <w:widowControl/>
      </w:pPr>
      <w:r>
        <w:rPr/>
        <w:t>15B Current repair and review features</w:t>
      </w:r>
    </w:p>
    <w:p>
      <w:pPr>
        <w:widowControl/>
      </w:pPr>
      <w:r>
        <w:rPr/>
        <w:t>Short Master dropouts of approximately 0.5-20 ms may be replaced when two donors agree sufficiently and surrounding timing, gain/DC and context pass verification. One actual donor supplies the audio. Silence is not automatically a defect and is not replaced merely because other sources have larger amplitudes.</w:t>
      </w:r>
    </w:p>
    <w:p>
      <w:pPr>
        <w:widowControl/>
      </w:pPr>
      <w:r>
        <w:rPr/>
        <w:t>Timing alignment may continue from verified anchors towards the beginning and end, requiring continued support from at least two donors and unambiguous local matches. Continuation stops when support ends. Shared programme timing does not automatically extend into individual lead-in or lead-out noise.</w:t>
      </w:r>
    </w:p>
    <w:p>
      <w:pPr>
        <w:widowControl/>
      </w:pPr>
      <w:r>
        <w:rPr/>
        <w:t>Optional start blanking is separate post-processing. The application may propose a start from a sustained level increase in at least two aligned sources, but the user must listen and adjust the boundary. A 20 ms smooth fade precedes the full-level boundary. A separate WAV and audit note are saved; later PCM data remain unchanged. No automatic end blanking or fade of the musical ending is included.</w:t>
      </w:r>
    </w:p>
    <w:p>
      <w:pPr>
        <w:widowControl/>
      </w:pPr>
      <w:r>
        <w:rPr/>
        <w:t>Load previous run starts with the run's .decisions.csv. Companion files are located by matching names. If a WAV is requested, select the engine's original Result, rather than the input Master, Master-only output or a separately corrected/start-blanked copy. If source files are requested, select the original inputs.</w:t>
      </w:r>
    </w:p>
    <w:p w14:paraId="489336C9" w14:textId="77777777">
      <w:pPr>
        <w:pStyle w:val="Rubrik1"/>
        <w:keepNext/>
        <w:widowControl/>
      </w:pPr>
      <w:r>
        <w:rPr/>
        <w:t>16 Historical tests of v0 2 1 through v0 2 14</w:t>
      </w:r>
    </w:p>
    <w:p w14:paraId="52A98E3E" w14:textId="77777777">
      <w:pPr>
        <w:keepNext w:val="0"/>
        <w:widowControl/>
      </w:pPr>
      <w:r>
        <w:rPr/>
        <w:t>Torture Test 1 exposed two early problems: 24-bit input was incorrectly exported as 16 bits, and a short defect could cause several seconds of donor retention. These problems led to more localised repair decisions.</w:t>
      </w:r>
    </w:p>
    <w:p w14:paraId="4DC2B677" w14:textId="77777777">
      <w:pPr>
        <w:keepNext w:val="0"/>
        <w:widowControl/>
      </w:pPr>
      <w:r>
        <w:rPr/>
        <w:t>v0.2.1 preserved input bit depth, used approximately 2 ms source selection and short crossfades. Torture-2 RMSE fell to approximately 0.001658.</w:t>
      </w:r>
    </w:p>
    <w:p w14:paraId="41DEDA2F" w14:textId="77777777">
      <w:pPr>
        <w:keepNext w:val="0"/>
        <w:widowControl/>
      </w:pPr>
      <w:r>
        <w:rPr/>
        <w:t>v0.2.2 added continuity and local gain/DC matching. Matching worsened RMSE to approximately 0.001677 and frequently reached its limits.</w:t>
      </w:r>
    </w:p>
    <w:p w14:paraId="1D650695" w14:textId="77777777">
      <w:pPr>
        <w:keepNext w:val="0"/>
        <w:widowControl/>
      </w:pPr>
      <w:r>
        <w:rPr/>
        <w:t>v0.2.3 disabled gain/DC matching while retaining continuity. RMSE improved to approximately 0.00165646, the best verified historical Torture-2 baseline reported here.</w:t>
      </w:r>
    </w:p>
    <w:p w14:paraId="47BA3CDF" w14:textId="77777777">
      <w:pPr>
        <w:keepNext w:val="0"/>
        <w:widowControl/>
      </w:pPr>
      <w:r>
        <w:rPr/>
        <w:t>v0.2.4 added automatic start matching without regression on aligned Torture-2, but failed Torture-3 with start offsets of +4.370 s and +9.180 s. The fail-safe retained Master for 100% of output instead of using incorrect donors.</w:t>
      </w:r>
    </w:p>
    <w:p w14:paraId="4EBE206F" w14:textId="77777777">
      <w:pPr>
        <w:keepNext w:val="0"/>
        <w:widowControl/>
      </w:pPr>
      <w:r>
        <w:rPr/>
        <w:t>v0.2.5 fingerprint start alignment also failed when the longest or silence-led source was first. This demonstrated that file order must not determine alignment or Master selection.</w:t>
      </w:r>
    </w:p>
    <w:p w14:paraId="6EEF31F7" w14:textId="77777777">
      <w:pPr>
        <w:keepNext w:val="0"/>
        <w:widowControl/>
      </w:pPr>
      <w:r>
        <w:rPr/>
        <w:t>v0.2.6 introduced full-range start alignment and handled large positive and negative Torture-3 offsets, establishing that global alignment need not be controlled by file order.</w:t>
      </w:r>
    </w:p>
    <w:p>
      <w:pPr>
        <w:pStyle w:val="Punktlista"/>
        <w:widowControl/>
      </w:pPr>
      <w:r>
        <w:rPr/>
        <w:t>v0.2.7 introduced experimental Auto-Master selection by clean useful dynamics. It was retained as an experiment rather than accepted as the final Master-selection principle.</w:t>
      </w:r>
    </w:p>
    <w:p>
      <w:pPr>
        <w:pStyle w:val="Punktlista"/>
        <w:widowControl/>
      </w:pPr>
      <w:r>
        <w:rPr/>
        <w:t>v0.2.8 added fine alignment for real recordings. Donors still failed validation for much of the recording, indicating the need for a persistent timing model for analogue drift.</w:t>
      </w:r>
    </w:p>
    <w:p>
      <w:pPr>
        <w:pStyle w:val="Punktlista"/>
        <w:widowControl/>
      </w:pPr>
      <w:r>
        <w:rPr/>
        <w:t>v0.2.9 introduced a persistent delay trajectory and greatly increased donor availability, but sometimes followed false correlation peaks. The result had 3,129 source changes and sounded poor; this was an unsuccessful experiment.</w:t>
      </w:r>
    </w:p>
    <w:p>
      <w:pPr>
        <w:pStyle w:val="Punktlista"/>
        <w:widowControl/>
      </w:pPr>
      <w:r>
        <w:rPr/>
        <w:t>v0.2.10 restored strict local verification with a correlation threshold. It was fail-safe but overly conservative, effectively retaining only Master.</w:t>
      </w:r>
    </w:p>
    <w:p>
      <w:pPr>
        <w:pStyle w:val="Punktlista"/>
        <w:widowControl/>
      </w:pPr>
      <w:r>
        <w:rPr/>
        <w:t>v0.2.11 introduced a Two-Pass Time Map. The test instead exposed a false global start match near +18.4 s on real vinyl material.</w:t>
      </w:r>
    </w:p>
    <w:p>
      <w:pPr>
        <w:pStyle w:val="Punktlista"/>
        <w:widowControl/>
      </w:pPr>
      <w:r>
        <w:rPr/>
        <w:t>v0.2.12 introduced Robust Global Start Sync with multiple informative anchors. It found the correct near-zero start offset and followed slow analogue drift. It was the first version to produce a promising result on three independent real-vinyl transfers.</w:t>
      </w:r>
    </w:p>
    <w:p>
      <w:pPr>
        <w:pStyle w:val="Punktlista"/>
        <w:widowControl/>
      </w:pPr>
      <w:r>
        <w:rPr/>
        <w:t>An earlier independent review of v0.2.12 grouped 255 donor decisions into 188 events: 8 with strong three-source evidence, 15 plausible, 140 without clear three-source support and 25 weak or ambiguous. This motivated stricter donor verification. Later experience also showed continuing alignment challenges; focusing only on donor selection was no longer sufficient.</w:t>
      </w:r>
    </w:p>
    <w:p>
      <w:pPr>
        <w:pStyle w:val="Punktlista"/>
        <w:widowControl/>
      </w:pPr>
      <w:r>
        <w:rPr/>
        <w:t>v0.2.13 added a live decision map without changing DSP output. On the same historical vinyl test, both WAV and decision map were bit-identical to v0.2.12.</w:t>
      </w:r>
    </w:p>
    <w:p>
      <w:pPr>
        <w:pStyle w:val="Punktlista"/>
        <w:widowControl/>
      </w:pPr>
      <w:r>
        <w:rPr/>
        <w:t>v0.2.14 added a scrollable timeline, time axis, zoom and interface cleanup. Its WAV and decision map were also bit-identical to v0.2.13, verifying those interface changes did not alter DSP output in that test.</w:t>
      </w:r>
    </w:p>
    <w:p w14:paraId="695CC34B" w14:textId="77777777">
      <w:pPr>
        <w:pStyle w:val="Rubrik1"/>
        <w:keepNext/>
        <w:widowControl/>
      </w:pPr>
      <w:r>
        <w:rPr/>
        <w:t>17 Initial verification experiment</w:t>
      </w:r>
    </w:p>
    <w:p w14:paraId="26BD0A1C" w14:textId="77777777">
      <w:pPr>
        <w:widowControl/>
      </w:pPr>
      <w:r>
        <w:rPr/>
        <w:t>Real transfers showed improvements during development review, with unresolved boundary cases. A historical splice near 1.408 s illustrates that a correctly rendered donor core does not establish a correct connection to Master. Visual inspection is supplemented with sample checks and listening. The case remains open and is not generally explained or solved.</w:t>
      </w:r>
    </w:p>
    <w:tbl>
      <w:tblPr>
        <w:tblStyle w:val="Tabellrutnt"/>
        <w:tblW w:w="0" w:type="auto"/>
        <w:jc w:val="center"/>
        <w:tblLook w:val="04A0" w:firstRow="1" w:lastRow="0" w:firstColumn="1" w:lastColumn="0" w:noHBand="0" w:noVBand="1"/>
      </w:tblPr>
      <w:tblGrid>
        <w:gridCol w:w="2551"/>
        <w:gridCol w:w="6803"/>
      </w:tblGrid>
      <w:tr w14:paraId="477E3DDD" w14:textId="77777777">
        <w:trPr>
          <w:jc w:val="center"/>
          <w:cantSplit/>
          <w:tblHeader/>
          <w:cantSplit/>
          <w:tblHeader/>
        </w:trPr>
        <w:tc>
          <w:tcPr>
            <w:tcW w:w="2551" w:type="dxa"/>
            <w:shd w:val="clear" w:color="auto" w:fill="D9EAF7"/>
            <w:vAlign w:val="center"/>
            <w:tcBorders>
              <w:top w:val="single" w:sz="6" w:color="D9D9D9"/>
              <w:left w:val="single" w:sz="6" w:color="D9D9D9"/>
              <w:bottom w:val="single" w:sz="6" w:color="D9D9D9"/>
              <w:right w:val="single" w:sz="6" w:color="D9D9D9"/>
            </w:tcBorders>
            <w:tcBorders>
              <w:top w:val="single" w:sz="4" w:color="D9D9D9"/>
              <w:left w:val="single" w:sz="4" w:color="D9D9D9"/>
              <w:bottom w:val="single" w:sz="4" w:color="D9D9D9"/>
              <w:right w:val="single" w:sz="4" w:color="D9D9D9"/>
            </w:tcBorders>
          </w:tcPr>
          <w:p>
            <w:pPr>
              <w:spacing w:after="60" w:before="60"/>
            </w:pPr>
            <w:r>
              <w:rPr>
                <w:b/>
                <w:sz w:val="19"/>
              </w:rPr>
              <w:t>Step</w:t>
            </w:r>
          </w:p>
        </w:tc>
        <w:tc>
          <w:tcPr>
            <w:tcW w:w="6803" w:type="dxa"/>
            <w:shd w:val="clear" w:color="auto" w:fill="D9EAF7"/>
            <w:vAlign w:val="center"/>
            <w:tcBorders>
              <w:top w:val="single" w:sz="6" w:color="D9D9D9"/>
              <w:left w:val="single" w:sz="6" w:color="D9D9D9"/>
              <w:bottom w:val="single" w:sz="6" w:color="D9D9D9"/>
              <w:right w:val="single" w:sz="6" w:color="D9D9D9"/>
            </w:tcBorders>
            <w:tcBorders>
              <w:top w:val="single" w:sz="4" w:color="D9D9D9"/>
              <w:left w:val="single" w:sz="4" w:color="D9D9D9"/>
              <w:bottom w:val="single" w:sz="4" w:color="D9D9D9"/>
              <w:right w:val="single" w:sz="4" w:color="D9D9D9"/>
            </w:tcBorders>
          </w:tcPr>
          <w:p>
            <w:pPr>
              <w:spacing w:after="60" w:before="60"/>
            </w:pPr>
            <w:r>
              <w:rPr>
                <w:b/>
                <w:sz w:val="19"/>
              </w:rPr>
              <w:t>Check</w:t>
            </w:r>
          </w:p>
        </w:tc>
      </w:tr>
      <w:tr w14:paraId="7F76E228" w14:textId="77777777">
        <w:trPr>
          <w:jc w:val="center"/>
          <w:cantSplit/>
          <w:cantSplit/>
        </w:trPr>
        <w:tc>
          <w:tcPr>
            <w:tcW w:w="2551" w:type="dxa"/>
            <w:tcBorders>
              <w:top w:val="single" w:sz="6" w:color="D9D9D9"/>
              <w:left w:val="single" w:sz="6" w:color="D9D9D9"/>
              <w:bottom w:val="single" w:sz="6" w:color="D9D9D9"/>
              <w:right w:val="single" w:sz="6" w:color="D9D9D9"/>
            </w:tcBorders>
            <w:tcBorders>
              <w:top w:val="single" w:sz="4" w:color="D9D9D9"/>
              <w:left w:val="single" w:sz="4" w:color="D9D9D9"/>
              <w:bottom w:val="single" w:sz="4" w:color="D9D9D9"/>
              <w:right w:val="single" w:sz="4" w:color="D9D9D9"/>
            </w:tcBorders>
          </w:tcPr>
          <w:p>
            <w:pPr>
              <w:spacing w:after="60" w:before="60"/>
            </w:pPr>
            <w:r>
              <w:rPr>
                <w:b w:val="0"/>
                <w:sz w:val="19"/>
              </w:rPr>
              <w:t>1 Inventory</w:t>
            </w:r>
          </w:p>
        </w:tc>
        <w:tc>
          <w:tcPr>
            <w:tcW w:w="6803" w:type="dxa"/>
            <w:tcBorders>
              <w:top w:val="single" w:sz="6" w:color="D9D9D9"/>
              <w:left w:val="single" w:sz="6" w:color="D9D9D9"/>
              <w:bottom w:val="single" w:sz="6" w:color="D9D9D9"/>
              <w:right w:val="single" w:sz="6" w:color="D9D9D9"/>
            </w:tcBorders>
            <w:tcBorders>
              <w:top w:val="single" w:sz="4" w:color="D9D9D9"/>
              <w:left w:val="single" w:sz="4" w:color="D9D9D9"/>
              <w:bottom w:val="single" w:sz="4" w:color="D9D9D9"/>
              <w:right w:val="single" w:sz="4" w:color="D9D9D9"/>
            </w:tcBorders>
          </w:tcPr>
          <w:p>
            <w:pPr>
              <w:spacing w:after="60" w:before="60"/>
            </w:pPr>
            <w:r>
              <w:rPr>
                <w:b w:val="0"/>
                <w:sz w:val="19"/>
              </w:rPr>
              <w:t>Photograph and permanently identify physical copies.</w:t>
            </w:r>
          </w:p>
        </w:tc>
      </w:tr>
      <w:tr w14:paraId="5A501EF6" w14:textId="77777777">
        <w:trPr>
          <w:jc w:val="center"/>
          <w:cantSplit/>
          <w:cantSplit/>
        </w:trPr>
        <w:tc>
          <w:tcPr>
            <w:tcW w:w="2551" w:type="dxa"/>
            <w:tcBorders>
              <w:top w:val="single" w:sz="6" w:color="D9D9D9"/>
              <w:left w:val="single" w:sz="6" w:color="D9D9D9"/>
              <w:bottom w:val="single" w:sz="6" w:color="D9D9D9"/>
              <w:right w:val="single" w:sz="6" w:color="D9D9D9"/>
            </w:tcBorders>
            <w:tcBorders>
              <w:top w:val="single" w:sz="4" w:color="D9D9D9"/>
              <w:left w:val="single" w:sz="4" w:color="D9D9D9"/>
              <w:bottom w:val="single" w:sz="4" w:color="D9D9D9"/>
              <w:right w:val="single" w:sz="4" w:color="D9D9D9"/>
            </w:tcBorders>
          </w:tcPr>
          <w:p>
            <w:pPr>
              <w:spacing w:after="60" w:before="60"/>
            </w:pPr>
            <w:r>
              <w:rPr>
                <w:b w:val="0"/>
                <w:sz w:val="19"/>
              </w:rPr>
              <w:t>2 Pressing identity</w:t>
            </w:r>
          </w:p>
        </w:tc>
        <w:tc>
          <w:tcPr>
            <w:tcW w:w="6803" w:type="dxa"/>
            <w:tcBorders>
              <w:top w:val="single" w:sz="6" w:color="D9D9D9"/>
              <w:left w:val="single" w:sz="6" w:color="D9D9D9"/>
              <w:bottom w:val="single" w:sz="6" w:color="D9D9D9"/>
              <w:right w:val="single" w:sz="6" w:color="D9D9D9"/>
            </w:tcBorders>
            <w:tcBorders>
              <w:top w:val="single" w:sz="4" w:color="D9D9D9"/>
              <w:left w:val="single" w:sz="4" w:color="D9D9D9"/>
              <w:bottom w:val="single" w:sz="4" w:color="D9D9D9"/>
              <w:right w:val="single" w:sz="4" w:color="D9D9D9"/>
            </w:tcBorders>
          </w:tcPr>
          <w:p>
            <w:pPr>
              <w:spacing w:after="60" w:before="60"/>
            </w:pPr>
            <w:r>
              <w:rPr>
                <w:b w:val="0"/>
                <w:sz w:val="19"/>
              </w:rPr>
              <w:t>Compare catalogue, matrix, take and run-out/stamper markings.</w:t>
            </w:r>
          </w:p>
        </w:tc>
      </w:tr>
      <w:tr w14:paraId="636E8527" w14:textId="77777777">
        <w:trPr>
          <w:jc w:val="center"/>
          <w:cantSplit/>
          <w:cantSplit/>
        </w:trPr>
        <w:tc>
          <w:tcPr>
            <w:tcW w:w="2551" w:type="dxa"/>
            <w:tcBorders>
              <w:top w:val="single" w:sz="6" w:color="D9D9D9"/>
              <w:left w:val="single" w:sz="6" w:color="D9D9D9"/>
              <w:bottom w:val="single" w:sz="6" w:color="D9D9D9"/>
              <w:right w:val="single" w:sz="6" w:color="D9D9D9"/>
            </w:tcBorders>
            <w:tcBorders>
              <w:top w:val="single" w:sz="4" w:color="D9D9D9"/>
              <w:left w:val="single" w:sz="4" w:color="D9D9D9"/>
              <w:bottom w:val="single" w:sz="4" w:color="D9D9D9"/>
              <w:right w:val="single" w:sz="4" w:color="D9D9D9"/>
            </w:tcBorders>
          </w:tcPr>
          <w:p>
            <w:pPr>
              <w:spacing w:after="60" w:before="60"/>
            </w:pPr>
            <w:r>
              <w:rPr>
                <w:b w:val="0"/>
                <w:sz w:val="19"/>
              </w:rPr>
              <w:t>3 Capture</w:t>
            </w:r>
          </w:p>
        </w:tc>
        <w:tc>
          <w:tcPr>
            <w:tcW w:w="6803" w:type="dxa"/>
            <w:tcBorders>
              <w:top w:val="single" w:sz="6" w:color="D9D9D9"/>
              <w:left w:val="single" w:sz="6" w:color="D9D9D9"/>
              <w:bottom w:val="single" w:sz="6" w:color="D9D9D9"/>
              <w:right w:val="single" w:sz="6" w:color="D9D9D9"/>
            </w:tcBorders>
            <w:tcBorders>
              <w:top w:val="single" w:sz="4" w:color="D9D9D9"/>
              <w:left w:val="single" w:sz="4" w:color="D9D9D9"/>
              <w:bottom w:val="single" w:sz="4" w:color="D9D9D9"/>
              <w:right w:val="single" w:sz="4" w:color="D9D9D9"/>
            </w:tcBorders>
          </w:tcPr>
          <w:p>
            <w:pPr>
              <w:spacing w:after="60" w:before="60"/>
            </w:pPr>
            <w:r>
              <w:rPr>
                <w:b w:val="0"/>
                <w:sz w:val="19"/>
              </w:rPr>
              <w:t>Suitable stylus, comparable signal path, documented speed and project-recommended 96 kHz / 24-bit capture.</w:t>
            </w:r>
          </w:p>
        </w:tc>
      </w:tr>
      <w:tr w14:paraId="3C03C1AF" w14:textId="77777777">
        <w:trPr>
          <w:jc w:val="center"/>
          <w:cantSplit/>
          <w:cantSplit/>
        </w:trPr>
        <w:tc>
          <w:tcPr>
            <w:tcW w:w="2551" w:type="dxa"/>
            <w:tcBorders>
              <w:top w:val="single" w:sz="6" w:color="D9D9D9"/>
              <w:left w:val="single" w:sz="6" w:color="D9D9D9"/>
              <w:bottom w:val="single" w:sz="6" w:color="D9D9D9"/>
              <w:right w:val="single" w:sz="6" w:color="D9D9D9"/>
            </w:tcBorders>
            <w:tcBorders>
              <w:top w:val="single" w:sz="4" w:color="D9D9D9"/>
              <w:left w:val="single" w:sz="4" w:color="D9D9D9"/>
              <w:bottom w:val="single" w:sz="4" w:color="D9D9D9"/>
              <w:right w:val="single" w:sz="4" w:color="D9D9D9"/>
            </w:tcBorders>
          </w:tcPr>
          <w:p>
            <w:pPr>
              <w:spacing w:after="60" w:before="60"/>
            </w:pPr>
            <w:r>
              <w:rPr>
                <w:b w:val="0"/>
                <w:sz w:val="19"/>
              </w:rPr>
              <w:t>4 Raw checks</w:t>
            </w:r>
          </w:p>
        </w:tc>
        <w:tc>
          <w:tcPr>
            <w:tcW w:w="6803" w:type="dxa"/>
            <w:tcBorders>
              <w:top w:val="single" w:sz="6" w:color="D9D9D9"/>
              <w:left w:val="single" w:sz="6" w:color="D9D9D9"/>
              <w:bottom w:val="single" w:sz="6" w:color="D9D9D9"/>
              <w:right w:val="single" w:sz="6" w:color="D9D9D9"/>
            </w:tcBorders>
            <w:tcBorders>
              <w:top w:val="single" w:sz="4" w:color="D9D9D9"/>
              <w:left w:val="single" w:sz="4" w:color="D9D9D9"/>
              <w:bottom w:val="single" w:sz="4" w:color="D9D9D9"/>
              <w:right w:val="single" w:sz="4" w:color="D9D9D9"/>
            </w:tcBorders>
          </w:tcPr>
          <w:p>
            <w:pPr>
              <w:spacing w:after="60" w:before="60"/>
            </w:pPr>
            <w:r>
              <w:rPr>
                <w:b w:val="0"/>
                <w:sz w:val="19"/>
              </w:rPr>
              <w:t>Check clipping, dropouts and unintended processing.</w:t>
            </w:r>
          </w:p>
        </w:tc>
      </w:tr>
      <w:tr w14:paraId="56F7C45D" w14:textId="77777777">
        <w:trPr>
          <w:jc w:val="center"/>
          <w:cantSplit/>
          <w:cantSplit/>
        </w:trPr>
        <w:tc>
          <w:tcPr>
            <w:tcW w:w="2551" w:type="dxa"/>
            <w:tcBorders>
              <w:top w:val="single" w:sz="6" w:color="D9D9D9"/>
              <w:left w:val="single" w:sz="6" w:color="D9D9D9"/>
              <w:bottom w:val="single" w:sz="6" w:color="D9D9D9"/>
              <w:right w:val="single" w:sz="6" w:color="D9D9D9"/>
            </w:tcBorders>
            <w:tcBorders>
              <w:top w:val="single" w:sz="4" w:color="D9D9D9"/>
              <w:left w:val="single" w:sz="4" w:color="D9D9D9"/>
              <w:bottom w:val="single" w:sz="4" w:color="D9D9D9"/>
              <w:right w:val="single" w:sz="4" w:color="D9D9D9"/>
            </w:tcBorders>
          </w:tcPr>
          <w:p>
            <w:pPr>
              <w:spacing w:after="60" w:before="60"/>
            </w:pPr>
            <w:r>
              <w:rPr>
                <w:b w:val="0"/>
                <w:sz w:val="19"/>
              </w:rPr>
              <w:t>5 Alignment</w:t>
            </w:r>
          </w:p>
        </w:tc>
        <w:tc>
          <w:tcPr>
            <w:tcW w:w="6803" w:type="dxa"/>
            <w:tcBorders>
              <w:top w:val="single" w:sz="6" w:color="D9D9D9"/>
              <w:left w:val="single" w:sz="6" w:color="D9D9D9"/>
              <w:bottom w:val="single" w:sz="6" w:color="D9D9D9"/>
              <w:right w:val="single" w:sz="6" w:color="D9D9D9"/>
            </w:tcBorders>
            <w:tcBorders>
              <w:top w:val="single" w:sz="4" w:color="D9D9D9"/>
              <w:left w:val="single" w:sz="4" w:color="D9D9D9"/>
              <w:bottom w:val="single" w:sz="4" w:color="D9D9D9"/>
              <w:right w:val="single" w:sz="4" w:color="D9D9D9"/>
            </w:tcBorders>
          </w:tcPr>
          <w:p>
            <w:pPr>
              <w:spacing w:after="60" w:before="60"/>
            </w:pPr>
            <w:r>
              <w:rPr>
                <w:b w:val="0"/>
                <w:sz w:val="19"/>
              </w:rPr>
              <w:t>Measure stability, drift and confidence throughout the side.</w:t>
            </w:r>
          </w:p>
        </w:tc>
      </w:tr>
      <w:tr w14:paraId="46FBB4CF" w14:textId="77777777">
        <w:trPr>
          <w:jc w:val="center"/>
          <w:cantSplit/>
          <w:cantSplit/>
        </w:trPr>
        <w:tc>
          <w:tcPr>
            <w:tcW w:w="2551" w:type="dxa"/>
            <w:tcBorders>
              <w:top w:val="single" w:sz="6" w:color="D9D9D9"/>
              <w:left w:val="single" w:sz="6" w:color="D9D9D9"/>
              <w:bottom w:val="single" w:sz="6" w:color="D9D9D9"/>
              <w:right w:val="single" w:sz="6" w:color="D9D9D9"/>
            </w:tcBorders>
            <w:tcBorders>
              <w:top w:val="single" w:sz="4" w:color="D9D9D9"/>
              <w:left w:val="single" w:sz="4" w:color="D9D9D9"/>
              <w:bottom w:val="single" w:sz="4" w:color="D9D9D9"/>
              <w:right w:val="single" w:sz="4" w:color="D9D9D9"/>
            </w:tcBorders>
          </w:tcPr>
          <w:p>
            <w:pPr>
              <w:spacing w:after="60" w:before="60"/>
            </w:pPr>
            <w:r>
              <w:rPr>
                <w:b w:val="0"/>
                <w:sz w:val="19"/>
              </w:rPr>
              <w:t>6 Reconstruction</w:t>
            </w:r>
          </w:p>
        </w:tc>
        <w:tc>
          <w:tcPr>
            <w:tcW w:w="6803" w:type="dxa"/>
            <w:tcBorders>
              <w:top w:val="single" w:sz="6" w:color="D9D9D9"/>
              <w:left w:val="single" w:sz="6" w:color="D9D9D9"/>
              <w:bottom w:val="single" w:sz="6" w:color="D9D9D9"/>
              <w:right w:val="single" w:sz="6" w:color="D9D9D9"/>
            </w:tcBorders>
            <w:tcBorders>
              <w:top w:val="single" w:sz="4" w:color="D9D9D9"/>
              <w:left w:val="single" w:sz="4" w:color="D9D9D9"/>
              <w:bottom w:val="single" w:sz="4" w:color="D9D9D9"/>
              <w:right w:val="single" w:sz="4" w:color="D9D9D9"/>
            </w:tcBorders>
          </w:tcPr>
          <w:p>
            <w:pPr>
              <w:spacing w:after="60" w:before="60"/>
            </w:pPr>
            <w:r>
              <w:rPr>
                <w:b w:val="0"/>
                <w:sz w:val="19"/>
              </w:rPr>
              <w:t>Local verified source selection and short transitions. Impulse cores and dropouts use their respective checks.</w:t>
            </w:r>
          </w:p>
        </w:tc>
      </w:tr>
      <w:tr w14:paraId="6B8466AD" w14:textId="77777777">
        <w:trPr>
          <w:jc w:val="center"/>
          <w:cantSplit/>
          <w:cantSplit/>
        </w:trPr>
        <w:tc>
          <w:tcPr>
            <w:tcW w:w="2551" w:type="dxa"/>
            <w:tcBorders>
              <w:top w:val="single" w:sz="6" w:color="D9D9D9"/>
              <w:left w:val="single" w:sz="6" w:color="D9D9D9"/>
              <w:bottom w:val="single" w:sz="6" w:color="D9D9D9"/>
              <w:right w:val="single" w:sz="6" w:color="D9D9D9"/>
            </w:tcBorders>
            <w:tcBorders>
              <w:top w:val="single" w:sz="4" w:color="D9D9D9"/>
              <w:left w:val="single" w:sz="4" w:color="D9D9D9"/>
              <w:bottom w:val="single" w:sz="4" w:color="D9D9D9"/>
              <w:right w:val="single" w:sz="4" w:color="D9D9D9"/>
            </w:tcBorders>
          </w:tcPr>
          <w:p>
            <w:pPr>
              <w:spacing w:after="60" w:before="60"/>
            </w:pPr>
            <w:r>
              <w:rPr>
                <w:b w:val="0"/>
                <w:sz w:val="19"/>
              </w:rPr>
              <w:t>7 Blind or AB listening</w:t>
            </w:r>
          </w:p>
        </w:tc>
        <w:tc>
          <w:tcPr>
            <w:tcW w:w="6803" w:type="dxa"/>
            <w:tcBorders>
              <w:top w:val="single" w:sz="6" w:color="D9D9D9"/>
              <w:left w:val="single" w:sz="6" w:color="D9D9D9"/>
              <w:bottom w:val="single" w:sz="6" w:color="D9D9D9"/>
              <w:right w:val="single" w:sz="6" w:color="D9D9D9"/>
            </w:tcBorders>
            <w:tcBorders>
              <w:top w:val="single" w:sz="4" w:color="D9D9D9"/>
              <w:left w:val="single" w:sz="4" w:color="D9D9D9"/>
              <w:bottom w:val="single" w:sz="4" w:color="D9D9D9"/>
              <w:right w:val="single" w:sz="4" w:color="D9D9D9"/>
            </w:tcBorders>
          </w:tcPr>
          <w:p>
            <w:pPr>
              <w:spacing w:after="60" w:before="60"/>
            </w:pPr>
            <w:r>
              <w:rPr>
                <w:b w:val="0"/>
                <w:sz w:val="19"/>
              </w:rPr>
              <w:t>Compare with sources A/B/C, especially transients and damaged passages.</w:t>
            </w:r>
          </w:p>
        </w:tc>
      </w:tr>
      <w:tr w14:paraId="319F2EA9" w14:textId="77777777">
        <w:trPr>
          <w:jc w:val="center"/>
          <w:cantSplit/>
          <w:cantSplit/>
        </w:trPr>
        <w:tc>
          <w:tcPr>
            <w:tcW w:w="2551" w:type="dxa"/>
            <w:tcBorders>
              <w:top w:val="single" w:sz="6" w:color="D9D9D9"/>
              <w:left w:val="single" w:sz="6" w:color="D9D9D9"/>
              <w:bottom w:val="single" w:sz="6" w:color="D9D9D9"/>
              <w:right w:val="single" w:sz="6" w:color="D9D9D9"/>
            </w:tcBorders>
            <w:tcBorders>
              <w:top w:val="single" w:sz="4" w:color="D9D9D9"/>
              <w:left w:val="single" w:sz="4" w:color="D9D9D9"/>
              <w:bottom w:val="single" w:sz="4" w:color="D9D9D9"/>
              <w:right w:val="single" w:sz="4" w:color="D9D9D9"/>
            </w:tcBorders>
          </w:tcPr>
          <w:p>
            <w:pPr>
              <w:spacing w:after="60" w:before="60"/>
            </w:pPr>
            <w:r>
              <w:rPr>
                <w:b w:val="0"/>
                <w:sz w:val="19"/>
              </w:rPr>
              <w:t>8 Provenance</w:t>
            </w:r>
          </w:p>
        </w:tc>
        <w:tc>
          <w:tcPr>
            <w:tcW w:w="6803" w:type="dxa"/>
            <w:tcBorders>
              <w:top w:val="single" w:sz="6" w:color="D9D9D9"/>
              <w:left w:val="single" w:sz="6" w:color="D9D9D9"/>
              <w:bottom w:val="single" w:sz="6" w:color="D9D9D9"/>
              <w:right w:val="single" w:sz="6" w:color="D9D9D9"/>
            </w:tcBorders>
            <w:tcBorders>
              <w:top w:val="single" w:sz="4" w:color="D9D9D9"/>
              <w:left w:val="single" w:sz="4" w:color="D9D9D9"/>
              <w:bottom w:val="single" w:sz="4" w:color="D9D9D9"/>
              <w:right w:val="single" w:sz="4" w:color="D9D9D9"/>
            </w:tcBorders>
          </w:tcPr>
          <w:p>
            <w:pPr>
              <w:spacing w:after="60" w:before="60"/>
            </w:pPr>
            <w:r>
              <w:rPr>
                <w:b w:val="0"/>
                <w:sz w:val="19"/>
              </w:rPr>
              <w:t>Trace each contribution to its source and decision map.</w:t>
            </w:r>
          </w:p>
        </w:tc>
      </w:tr>
      <w:tr w14:paraId="180FDFB7" w14:textId="77777777">
        <w:trPr>
          <w:jc w:val="center"/>
          <w:cantSplit/>
          <w:cantSplit/>
        </w:trPr>
        <w:tc>
          <w:tcPr>
            <w:tcW w:w="2551" w:type="dxa"/>
            <w:tcBorders>
              <w:top w:val="single" w:sz="6" w:color="D9D9D9"/>
              <w:left w:val="single" w:sz="6" w:color="D9D9D9"/>
              <w:bottom w:val="single" w:sz="6" w:color="D9D9D9"/>
              <w:right w:val="single" w:sz="6" w:color="D9D9D9"/>
            </w:tcBorders>
            <w:tcBorders>
              <w:top w:val="single" w:sz="4" w:color="D9D9D9"/>
              <w:left w:val="single" w:sz="4" w:color="D9D9D9"/>
              <w:bottom w:val="single" w:sz="4" w:color="D9D9D9"/>
              <w:right w:val="single" w:sz="4" w:color="D9D9D9"/>
            </w:tcBorders>
          </w:tcPr>
          <w:p>
            <w:pPr>
              <w:spacing w:after="60" w:before="60"/>
            </w:pPr>
            <w:r>
              <w:rPr>
                <w:b w:val="0"/>
                <w:sz w:val="19"/>
              </w:rPr>
              <w:t>9 Archive</w:t>
            </w:r>
          </w:p>
        </w:tc>
        <w:tc>
          <w:tcPr>
            <w:tcW w:w="6803" w:type="dxa"/>
            <w:tcBorders>
              <w:top w:val="single" w:sz="6" w:color="D9D9D9"/>
              <w:left w:val="single" w:sz="6" w:color="D9D9D9"/>
              <w:bottom w:val="single" w:sz="6" w:color="D9D9D9"/>
              <w:right w:val="single" w:sz="6" w:color="D9D9D9"/>
            </w:tcBorders>
            <w:tcBorders>
              <w:top w:val="single" w:sz="4" w:color="D9D9D9"/>
              <w:left w:val="single" w:sz="4" w:color="D9D9D9"/>
              <w:bottom w:val="single" w:sz="4" w:color="D9D9D9"/>
              <w:right w:val="single" w:sz="4" w:color="D9D9D9"/>
            </w:tcBorders>
          </w:tcPr>
          <w:p>
            <w:pPr>
              <w:spacing w:after="60" w:before="60"/>
            </w:pPr>
            <w:r>
              <w:rPr>
                <w:b w:val="0"/>
                <w:sz w:val="19"/>
              </w:rPr>
              <w:t>Save raw files, metadata, hashes, decision map and output version.</w:t>
            </w:r>
          </w:p>
        </w:tc>
      </w:tr>
    </w:tbl>
    <w:p w14:paraId="34061DB6" w14:textId="77777777">
      <w:pPr>
        <w:widowControl/>
      </w:pPr>
    </w:p>
    <w:p>
      <w:pPr>
        <w:pStyle w:val="Rubrik2"/>
        <w:keepNext/>
        <w:widowControl/>
      </w:pPr>
      <w:r>
        <w:rPr/>
        <w:t>17A Next development work</w:t>
      </w:r>
    </w:p>
    <w:p>
      <w:pPr>
        <w:widowControl/>
      </w:pPr>
      <w:r>
        <w:rPr/>
        <w:t>Further work includes independent testing of more compatible copies and material, reproducible bug reports and deployment validation. Compare results against original Master and donors, preferably level-matched and blinded. Repeating an unsuccessful boundary-case experiment should be supported by new evidence. Cloud infrastructure and experimental forensics are outside the current main delivered functionality.</w:t>
      </w:r>
    </w:p>
    <w:p w14:paraId="69AEABBA" w14:textId="77777777">
      <w:pPr>
        <w:pStyle w:val="Rubrik1"/>
        <w:keepNext/>
        <w:widowControl/>
      </w:pPr>
      <w:r>
        <w:rPr/>
        <w:t>18 Further verification objectives</w:t>
      </w:r>
    </w:p>
    <w:p w14:paraId="6CFEEBE3" w14:textId="77777777">
      <w:pPr>
        <w:pStyle w:val="Punktlista"/>
        <w:widowControl/>
      </w:pPr>
      <w:r>
        <w:rPr/>
        <w:t>The restored output contains fewer copy-specific defects than any individual source.</w:t>
      </w:r>
    </w:p>
    <w:p w14:paraId="0AAC6432" w14:textId="77777777">
      <w:pPr>
        <w:pStyle w:val="Punktlista"/>
        <w:widowControl/>
      </w:pPr>
      <w:r>
        <w:rPr/>
        <w:t>Source changes introduce no audible phasing or tonal changes.</w:t>
      </w:r>
    </w:p>
    <w:p w14:paraId="128C880A" w14:textId="77777777">
      <w:pPr>
        <w:pStyle w:val="Punktlista"/>
        <w:widowControl/>
      </w:pPr>
      <w:r>
        <w:rPr/>
        <w:t>Timing alignment remains stable through complex passages.</w:t>
      </w:r>
    </w:p>
    <w:p w14:paraId="344BB21D" w14:textId="77777777">
      <w:pPr>
        <w:pStyle w:val="Punktlista"/>
        <w:widowControl/>
      </w:pPr>
      <w:r>
        <w:rPr/>
        <w:t>The result can be reproduced from saved raw files, parameters and algorithm version.</w:t>
      </w:r>
    </w:p>
    <w:p w14:paraId="56FCCB24" w14:textId="77777777">
      <w:pPr>
        <w:pStyle w:val="Punktlista"/>
        <w:widowControl/>
      </w:pPr>
      <w:r>
        <w:rPr/>
        <w:t>No musical content needs to be explained as synthetically generated.</w:t>
      </w:r>
    </w:p>
    <w:p w14:paraId="3B09FE4B" w14:textId="77777777">
      <w:pPr>
        <w:pStyle w:val="Punktlista"/>
        <w:widowControl/>
      </w:pPr>
      <w:r>
        <w:rPr/>
        <w:t>A later physical copy can be added without losing earlier evidence.</w:t>
      </w:r>
    </w:p>
    <w:p w14:paraId="096D5166" w14:textId="77777777">
      <w:pPr>
        <w:pStyle w:val="Rubrik1"/>
        <w:keepNext/>
        <w:widowControl/>
      </w:pPr>
      <w:r>
        <w:rPr/>
        <w:t>19 Long term scope</w:t>
      </w:r>
    </w:p>
    <w:p w14:paraId="41D87AD7" w14:textId="77777777">
      <w:pPr>
        <w:widowControl/>
      </w:pPr>
      <w:r>
        <w:rPr/>
        <w:t>In the longer term, Master-2000 may be assessed on vinyl, lacquer discs, tape and other analogue carriers where independent copies of the same original recording survive. The common principle is that physical copies provide redundant storage of a historical signal. These applications require their own validation.</w:t>
      </w:r>
    </w:p>
    <w:p w14:paraId="28ED5A35" w14:textId="77777777">
      <w:pPr>
        <w:widowControl/>
        <w:spacing w:before="240" w:after="240"/>
      </w:pPr>
      <w:r>
        <w:rPr/>
        <w:t>The purpose is to recover and preserve as much as technically possible of the recorded information, rather than impose a modern sound on historical recordings.</w:t>
      </w:r>
    </w:p>
    <w:p w14:paraId="34AA5D66" w14:textId="77777777">
      <w:pPr>
        <w:pStyle w:val="Rubrik1"/>
        <w:keepNext/>
        <w:widowControl/>
      </w:pPr>
      <w:r>
        <w:rPr/>
        <w:t>20 Project principle</w:t>
      </w:r>
    </w:p>
    <w:p w14:paraId="06CDEA19" w14:textId="77777777">
      <w:pPr>
        <w:widowControl/>
        <w:jc w:val="center"/>
      </w:pPr>
      <w:r>
        <w:rPr/>
        <w:t>Compare independent copies to produce an improved restoration in which every repair can be reviewed and traced to the source that supplied its audio.</w:t>
      </w:r>
    </w:p>
    <w:p>
      <w:pPr>
        <w:pStyle w:val="Rubrik1"/>
        <w:keepNext/>
        <w:widowControl/>
      </w:pPr>
      <w:r>
        <w:rPr/>
        <w:t>21 Version changes and recent verification</w:t>
      </w:r>
    </w:p>
    <w:p>
      <w:pPr>
        <w:pStyle w:val="Rubrik2"/>
        <w:keepNext/>
        <w:widowControl/>
      </w:pPr>
      <w:r>
        <w:rPr/>
        <w:t>Recent versions</w:t>
      </w:r>
    </w:p>
    <w:p>
      <w:pPr>
        <w:widowControl/>
      </w:pPr>
      <w:r>
        <w:rPr/>
        <w:t>v0.2.31c-f improved waveform display, local reassessment, manual source selection, repair boundaries and progress presentation. v0.3.0 removed demo restrictions. v0.3.1 added verified short-dropout repair. v0.3.2 added guarded continuation of alignment towards file boundaries. v0.3.3 added optional start blanking; subsequent UI revisions stabilised waveform navigation and added previous-run guidance. Build 4 uses the final version label, cleans up layout and includes a range-checked C++ conversion.</w:t>
      </w:r>
    </w:p>
    <w:p>
      <w:pPr>
        <w:pStyle w:val="Rubrik2"/>
        <w:keepNext/>
        <w:widowControl/>
      </w:pPr>
      <w:r>
        <w:rPr/>
        <w:t>Manual source selection</w:t>
      </w:r>
    </w:p>
    <w:p>
      <w:pPr>
        <w:widowControl/>
      </w:pPr>
      <w:r>
        <w:rPr/>
        <w:t>The user may propose a donor for a limited interval. The application checks independent support and post-checks before accepting it. Before/after listening precedes user approval. Export is a separate file with an audit trail. Manual start alignment is a different feature and only helps searching.</w:t>
      </w:r>
    </w:p>
    <w:p>
      <w:pPr>
        <w:pStyle w:val="Rubrik2"/>
        <w:keepNext/>
        <w:widowControl/>
      </w:pPr>
      <w:r>
        <w:rPr/>
        <w:t>Historical test after a coarse start hint</w:t>
      </w:r>
    </w:p>
    <w:p>
      <w:pPr>
        <w:widowControl/>
      </w:pPr>
      <w:r>
        <w:rPr/>
        <w:t>In a five-source test, a previously weakly aligned source passed after a start hint near 1124.24 ms: 8 of 9 pre-analysis checks against Master passed, or 88.9%. Reverse checks were weaker. This percentage is neither final sample precision nor repaired audio share. The roles file showed all four non-Master sources becoming donors in that run.</w:t>
      </w:r>
    </w:p>
    <w:p>
      <w:pPr>
        <w:pStyle w:val="Rubrik2"/>
        <w:keepNext/>
        <w:widowControl/>
      </w:pPr>
      <w:r>
        <w:rPr/>
        <w:t>Open splice case</w:t>
      </w:r>
    </w:p>
    <w:p>
      <w:pPr>
        <w:widowControl/>
      </w:pPr>
      <w:r>
        <w:rPr/>
        <w:t>The historical repair extends from 1.40790625 s to 1.40828125 s, or 0.375 ms. Its core spans 1.40803125-1.40815625 s, or 0.125 ms. Source B supplies the donor, supported by additional sources. At 96 kHz, each side uses a 12-sample crossfade. Gain is 0.74478063, DC offset 0.00083005 and donor delay -11072 samples. These values describe this test and are not general settings.</w:t>
      </w:r>
    </w:p>
    <w:p>
      <w:pPr>
        <w:pStyle w:val="Rubrik2"/>
        <w:keepNext/>
        <w:widowControl/>
      </w:pPr>
      <w:r>
        <w:rPr/>
        <w:t>Sample verification of the result</w:t>
      </w:r>
    </w:p>
    <w:p>
      <w:pPr>
        <w:widowControl/>
      </w:pPr>
      <w:r>
        <w:rPr/>
        <w:t>The exported core matches the level-adjusted donor within approximately 6.1 × 10⁻⁸ amplitude units, consistent with 24-bit rounding. Checked samples immediately outside the repair match Master exactly. The crossfades blend Master and donor. A core derived from an actual source does not itself prove a correct splice shape.</w:t>
      </w:r>
    </w:p>
    <w:p>
      <w:pPr>
        <w:pStyle w:val="Rubrik2"/>
        <w:keepNext/>
        <w:widowControl/>
      </w:pPr>
      <w:r>
        <w:rPr/>
        <w:t>Separate splice experiment</w:t>
      </w:r>
    </w:p>
    <w:p>
      <w:pPr>
        <w:widowControl/>
      </w:pPr>
      <w:r>
        <w:rPr/>
        <w:t>HTML prototypes 0.1-0.4 tested local timing, constant gain/DC fitting and splice searches with level, slope and verification requirements. Diagnostics showed donor-to-Master correlation around 0.991/0.966 on the left/right separately, but approximately 0.910 with a joint fit. Version 0.4 distinguished the fixed fitting region, 1-8 ms from the peak, from the adjustable splice-search radius. The proposals were rejected; no new audio was accepted or integrated into the main engine.</w:t>
      </w:r>
    </w:p>
    <w:p>
      <w:pPr>
        <w:pStyle w:val="Rubrik2"/>
        <w:keepNext/>
        <w:widowControl/>
      </w:pPr>
      <w:r>
        <w:rPr/>
        <w:t>Conclusion and limitation</w:t>
      </w:r>
    </w:p>
    <w:p>
      <w:pPr>
        <w:widowControl/>
      </w:pPr>
      <w:r>
        <w:rPr/>
        <w:t>The two analysed donor transfers correlate strongly around the peak, but their connection to Master is unverified. A simple timing error does not explain the full difference. Frequency/phase response and broader damage in Master remain possible explanations that have not been distinguished. More independent copies may help but cannot guarantee a solution.</w:t>
      </w:r>
    </w:p>
    <w:p>
      <w:pPr>
        <w:pStyle w:val="Rubrik2"/>
        <w:keepNext/>
        <w:widowControl/>
      </w:pPr>
      <w:r>
        <w:rPr/>
        <w:t>Deployment verification</w:t>
      </w:r>
    </w:p>
    <w:p>
      <w:pPr>
        <w:widowControl/>
      </w:pPr>
      <w:r>
        <w:rPr/>
        <w:t>The release line addresses final presentation and the identified compiler-warning causes. A complete Windows build log remains the evidence for compiler-warning status. Pre-analysis impulse windows and rounded cleanliness percentages do not establish an absence of clicks. Standalone operation without supporting files was reported successful on 14 October 2026. Further deployment checks should cover import, restoration, listening, previous-run loading and export. Report versions, settings and anonymised reproducible evidence.</w:t>
      </w:r>
    </w:p>
    <w:p>
      <w:pPr>
        <w:widowControl/>
      </w:pPr>
      <w:r>
        <w:rPr/>
        <w:t>Evidence: documented historical development tests, local native regressions and release changes for Master-2000 v0.3.3 build 4 and Mono-78 v1.1a. Personal names, equipment models and identifying filenames are omitted. Historical measurements apply only to their analysed intervals. This report does not certify audio quality or performance for all recordings.</w:t>
      </w:r>
    </w:p>
    <w:p>
      <w:pPr>
        <w:pStyle w:val="Rubrik1"/>
        <w:keepNext/>
        <w:widowControl/>
      </w:pPr>
      <w:r>
        <w:rPr/>
        <w:t>22 References and report version 0 6 changes</w:t>
      </w:r>
    </w:p>
    <w:p>
      <w:pPr>
        <w:widowControl/>
      </w:pPr>
      <w:r>
        <w:rPr/>
        <w:t>Version 0.6 replaces equipment-specific descriptions with general recommendations and removes personal information, identifying filenames and record-specific IDs. Current status, MIT licensing, dropout repair, edge alignment, start blanking and previous-run loading are included. Historical tests remain historical evidence, not new measurements of v0.3.3. Both language versions include the subsequently reported standalone deployment test.</w:t>
      </w:r>
    </w:p>
    <w:p>
      <w:pPr>
        <w:widowControl/>
        <w:spacing w:after="80"/>
      </w:pPr>
      <w:r>
        <w:rPr/>
        <w:t>[1] IASA-TC 04, Key Digital Principles, sections 2.2-2.3. At least 48 kHz and at least 24 bits for analogue transfers; 96 kHz recommended as a higher rate. https://www.iasa-web.org/tc04/key-digital-principles</w:t>
      </w:r>
    </w:p>
    <w:p>
      <w:pPr>
        <w:widowControl/>
        <w:spacing w:after="80"/>
      </w:pPr>
      <w:r>
        <w:rPr/>
        <w:t>[2] IASA-TC 04, Replay Equipment. Appropriate cartridge and stylus for the medium. https://www.iasa-web.org/book/export/html/466</w:t>
      </w:r>
    </w:p>
    <w:p>
      <w:pPr>
        <w:widowControl/>
        <w:spacing w:after="80"/>
      </w:pPr>
      <w:r>
        <w:rPr/>
        <w:t>[3] IASA-TC 04, Replay Equalisation. Document the curve and transfer decisions; transfer flat when the correct curve is uncertain. https://www.iasa-web.org/book/export/html/468</w:t>
      </w:r>
    </w:p>
    <w:p>
      <w:pPr>
        <w:widowControl/>
        <w:spacing w:after="80"/>
      </w:pPr>
      <w:r>
        <w:rPr/>
        <w:t>References checked on 14 October 2026. Recommendations concern preparation of new source transfers and do not replace local signal-path and file-format checks.</w:t>
      </w:r>
    </w:p>
    <w:sectPr>
      <w:footerReference w:type="default" r:id="rId8"/>
      <w:headerReference w:type="default" r:id="rId11"/>
      <w:pgSz w:w="12240" w:h="15840"/>
      <w:pgMar w:top="1020"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958935" w14:textId="77777777">
      <w:pPr>
        <w:spacing w:after="0" w:line="240" w:lineRule="auto"/>
      </w:pPr>
      <w:r>
        <w:separator/>
      </w:r>
    </w:p>
  </w:endnote>
  <w:endnote w:type="continuationSeparator" w:id="0">
    <w:p w14:paraId="6BCE3B18"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B129E" w14:textId="77777777">
    <w:pPr>
      <w:pStyle w:val="Sidfot"/>
      <w:jc w:val="center"/>
    </w:pPr>
    <w:r>
      <w:t>© 2001–2026  · Master-2000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94197F" w14:textId="77777777">
      <w:pPr>
        <w:spacing w:after="0" w:line="240" w:lineRule="auto"/>
      </w:pPr>
      <w:r>
        <w:separator/>
      </w:r>
    </w:p>
  </w:footnote>
  <w:footnote w:type="continuationSeparator" w:id="0">
    <w:p w14:paraId="504B0B13" w14:textId="77777777">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reradlist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reradlist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ktlista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ktlista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reradlist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ktlista"/>
      <w:lvlText w:val=""/>
      <w:lvlJc w:val="left"/>
      <w:pPr>
        <w:tabs>
          <w:tab w:val="num" w:pos="360"/>
        </w:tabs>
        <w:ind w:left="360" w:hanging="360"/>
      </w:pPr>
      <w:rPr>
        <w:rFonts w:ascii="Symbol" w:hAnsi="Symbol" w:hint="default"/>
      </w:rPr>
    </w:lvl>
  </w:abstractNum>
  <w:num w:numId="1" w16cid:durableId="1027218231">
    <w:abstractNumId w:val="8"/>
  </w:num>
  <w:num w:numId="2" w16cid:durableId="1271006897">
    <w:abstractNumId w:val="6"/>
  </w:num>
  <w:num w:numId="3" w16cid:durableId="1265920102">
    <w:abstractNumId w:val="5"/>
  </w:num>
  <w:num w:numId="4" w16cid:durableId="1386179739">
    <w:abstractNumId w:val="4"/>
  </w:num>
  <w:num w:numId="5" w16cid:durableId="1550726617">
    <w:abstractNumId w:val="7"/>
  </w:num>
  <w:num w:numId="6" w16cid:durableId="1751078161">
    <w:abstractNumId w:val="3"/>
  </w:num>
  <w:num w:numId="7" w16cid:durableId="1884899442">
    <w:abstractNumId w:val="2"/>
  </w:num>
  <w:num w:numId="8" w16cid:durableId="1555193888">
    <w:abstractNumId w:val="1"/>
  </w:num>
  <w:num w:numId="9" w16cid:durableId="6547712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64DD5F"/>
  <w14:defaultImageDpi w14:val="300"/>
  <w15:docId w15:val="{A25692B4-3611-4969-BA5D-F706D00AB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pPr>
    <w:rPr>
      <w:rFonts w:ascii="Calibri" w:hAnsi="Calibri"/>
      <w:color w:val="000000"/>
      <w:sz w:val="21"/>
    </w:rPr>
  </w:style>
  <w:style w:type="paragraph" w:styleId="Rubrik1">
    <w:name w:val="heading 1"/>
    <w:basedOn w:val="Normal"/>
    <w:next w:val="Normal"/>
    <w:link w:val="Rubrik1Char"/>
    <w:uiPriority w:val="9"/>
    <w:qFormat/>
    <w:pPr>
      <w:keepNext/>
      <w:keepLines/>
      <w:spacing w:before="480" w:after="0"/>
      <w:outlineLvl w:val="0"/>
    </w:pPr>
    <w:rPr>
      <w:rFonts w:asciiTheme="majorHAnsi" w:eastAsiaTheme="majorEastAsia" w:hAnsiTheme="majorHAnsi" w:cstheme="majorBidi"/>
      <w:b/>
      <w:bCs/>
      <w:color w:val="000000"/>
      <w:sz w:val="32"/>
      <w:szCs w:val="28"/>
    </w:rPr>
  </w:style>
  <w:style w:type="paragraph" w:styleId="Rubrik2">
    <w:name w:val="heading 2"/>
    <w:basedOn w:val="Normal"/>
    <w:next w:val="Normal"/>
    <w:link w:val="Rubrik2Char"/>
    <w:uiPriority w:val="9"/>
    <w:unhideWhenUsed/>
    <w:qFormat/>
    <w:pPr>
      <w:keepNext/>
      <w:keepLines/>
      <w:spacing w:before="200" w:after="0"/>
      <w:outlineLvl w:val="1"/>
    </w:pPr>
    <w:rPr>
      <w:rFonts w:asciiTheme="majorHAnsi" w:eastAsiaTheme="majorEastAsia" w:hAnsiTheme="majorHAnsi" w:cstheme="majorBidi"/>
      <w:b/>
      <w:bCs/>
      <w:color w:val="000000"/>
      <w:sz w:val="25"/>
      <w:szCs w:val="26"/>
    </w:rPr>
  </w:style>
  <w:style w:type="paragraph" w:styleId="Rubrik3">
    <w:name w:val="heading 3"/>
    <w:basedOn w:val="Normal"/>
    <w:next w:val="Normal"/>
    <w:link w:val="Rubrik3Char"/>
    <w:uiPriority w:val="9"/>
    <w:unhideWhenUsed/>
    <w:qFormat/>
    <w:pPr>
      <w:keepNext/>
      <w:keepLines/>
      <w:spacing w:before="200" w:after="0"/>
      <w:outlineLvl w:val="2"/>
    </w:pPr>
    <w:rPr>
      <w:rFonts w:asciiTheme="majorHAnsi" w:eastAsiaTheme="majorEastAsia" w:hAnsiTheme="majorHAnsi" w:cstheme="majorBidi"/>
      <w:b/>
      <w:bCs/>
      <w:color w:val="000000"/>
      <w:sz w:val="22"/>
    </w:rPr>
  </w:style>
  <w:style w:type="paragraph" w:styleId="Rubrik4">
    <w:name w:val="heading 4"/>
    <w:basedOn w:val="Normal"/>
    <w:next w:val="Normal"/>
    <w:link w:val="Rubrik4Char"/>
    <w:uiPriority w:val="9"/>
    <w:semiHidden/>
    <w:unhideWhenUsed/>
    <w:qFormat/>
    <w:pPr>
      <w:keepNext/>
      <w:keepLines/>
      <w:spacing w:before="200" w:after="0"/>
      <w:outlineLvl w:val="3"/>
    </w:pPr>
    <w:rPr>
      <w:rFonts w:asciiTheme="majorHAnsi" w:eastAsiaTheme="majorEastAsia" w:hAnsiTheme="majorHAnsi" w:cstheme="majorBidi"/>
      <w:b/>
      <w:bCs/>
      <w:i/>
      <w:iCs/>
      <w:color w:val="000000"/>
    </w:rPr>
  </w:style>
  <w:style w:type="paragraph" w:styleId="Rubrik5">
    <w:name w:val="heading 5"/>
    <w:basedOn w:val="Normal"/>
    <w:next w:val="Normal"/>
    <w:link w:val="Rubrik5Char"/>
    <w:uiPriority w:val="9"/>
    <w:semiHidden/>
    <w:unhideWhenUsed/>
    <w:qFormat/>
    <w:pPr>
      <w:keepNext/>
      <w:keepLines/>
      <w:spacing w:before="200" w:after="0"/>
      <w:outlineLvl w:val="4"/>
    </w:pPr>
    <w:rPr>
      <w:rFonts w:asciiTheme="majorHAnsi" w:eastAsiaTheme="majorEastAsia" w:hAnsiTheme="majorHAnsi" w:cstheme="majorBidi"/>
      <w:color w:val="000000"/>
    </w:rPr>
  </w:style>
  <w:style w:type="paragraph" w:styleId="Rubrik6">
    <w:name w:val="heading 6"/>
    <w:basedOn w:val="Normal"/>
    <w:next w:val="Normal"/>
    <w:link w:val="Rubrik6Char"/>
    <w:uiPriority w:val="9"/>
    <w:semiHidden/>
    <w:unhideWhenUsed/>
    <w:qFormat/>
    <w:pPr>
      <w:keepNext/>
      <w:keepLines/>
      <w:spacing w:before="200" w:after="0"/>
      <w:outlineLvl w:val="5"/>
    </w:pPr>
    <w:rPr>
      <w:rFonts w:asciiTheme="majorHAnsi" w:eastAsiaTheme="majorEastAsia" w:hAnsiTheme="majorHAnsi" w:cstheme="majorBidi"/>
      <w:i/>
      <w:iCs/>
      <w:color w:val="000000"/>
    </w:rPr>
  </w:style>
  <w:style w:type="paragraph" w:styleId="Rubrik7">
    <w:name w:val="heading 7"/>
    <w:basedOn w:val="Normal"/>
    <w:next w:val="Normal"/>
    <w:link w:val="Rubrik7Char"/>
    <w:uiPriority w:val="9"/>
    <w:semiHidden/>
    <w:unhideWhenUsed/>
    <w:qFormat/>
    <w:pPr>
      <w:keepNext/>
      <w:keepLines/>
      <w:spacing w:before="200" w:after="0"/>
      <w:outlineLvl w:val="6"/>
    </w:pPr>
    <w:rPr>
      <w:rFonts w:asciiTheme="majorHAnsi" w:eastAsiaTheme="majorEastAsia" w:hAnsiTheme="majorHAnsi" w:cstheme="majorBidi"/>
      <w:i/>
      <w:iCs/>
      <w:color w:val="000000"/>
    </w:rPr>
  </w:style>
  <w:style w:type="paragraph" w:styleId="Rubrik8">
    <w:name w:val="heading 8"/>
    <w:basedOn w:val="Normal"/>
    <w:next w:val="Normal"/>
    <w:link w:val="Rubrik8Char"/>
    <w:uiPriority w:val="9"/>
    <w:semiHidden/>
    <w:unhideWhenUsed/>
    <w:qFormat/>
    <w:pPr>
      <w:keepNext/>
      <w:keepLines/>
      <w:spacing w:before="200" w:after="0"/>
      <w:outlineLvl w:val="7"/>
    </w:pPr>
    <w:rPr>
      <w:rFonts w:asciiTheme="majorHAnsi" w:eastAsiaTheme="majorEastAsia" w:hAnsiTheme="majorHAnsi" w:cstheme="majorBidi"/>
      <w:color w:val="000000"/>
      <w:sz w:val="20"/>
      <w:szCs w:val="20"/>
    </w:rPr>
  </w:style>
  <w:style w:type="paragraph" w:styleId="Rubrik9">
    <w:name w:val="heading 9"/>
    <w:basedOn w:val="Normal"/>
    <w:next w:val="Normal"/>
    <w:link w:val="Rubrik9Char"/>
    <w:uiPriority w:val="9"/>
    <w:semiHidden/>
    <w:unhideWhenUsed/>
    <w:qFormat/>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Sidhuvud">
    <w:name w:val="header"/>
    <w:basedOn w:val="Normal"/>
    <w:link w:val="SidhuvudChar"/>
    <w:uiPriority w:val="99"/>
    <w:unhideWhenUsed/>
    <w:pPr>
      <w:tabs>
        <w:tab w:val="center" w:pos="4680"/>
        <w:tab w:val="right" w:pos="9360"/>
      </w:tabs>
      <w:spacing w:after="0" w:line="240" w:lineRule="auto"/>
    </w:pPr>
    <w:rPr>
      <w:color w:val="000000"/>
    </w:rPr>
  </w:style>
  <w:style w:type="character" w:customStyle="1" w:styleId="SidhuvudChar">
    <w:name w:val="Sidhuvud Char"/>
    <w:basedOn w:val="Standardstycketeckensnitt"/>
    <w:link w:val="Sidhuvud"/>
    <w:uiPriority w:val="99"/>
  </w:style>
  <w:style w:type="paragraph" w:styleId="Sidfot">
    <w:name w:val="footer"/>
    <w:basedOn w:val="Normal"/>
    <w:link w:val="SidfotChar"/>
    <w:uiPriority w:val="99"/>
    <w:unhideWhenUsed/>
    <w:pPr>
      <w:tabs>
        <w:tab w:val="center" w:pos="4680"/>
        <w:tab w:val="right" w:pos="9360"/>
      </w:tabs>
      <w:spacing w:after="0" w:line="240" w:lineRule="auto"/>
    </w:pPr>
    <w:rPr>
      <w:color w:val="000000"/>
    </w:rPr>
  </w:style>
  <w:style w:type="character" w:customStyle="1" w:styleId="SidfotChar">
    <w:name w:val="Sidfot Char"/>
    <w:basedOn w:val="Standardstycketeckensnitt"/>
    <w:link w:val="Sidfot"/>
    <w:uiPriority w:val="99"/>
  </w:style>
  <w:style w:type="paragraph" w:styleId="Ingetavstnd">
    <w:name w:val="No Spacing"/>
    <w:uiPriority w:val="1"/>
    <w:qFormat/>
    <w:pPr>
      <w:spacing w:after="0" w:line="240" w:lineRule="auto"/>
    </w:pPr>
    <w:rPr>
      <w:color w:val="000000"/>
    </w:rPr>
  </w:style>
  <w:style w:type="character" w:customStyle="1" w:styleId="Rubrik1Char">
    <w:name w:val="Rubrik 1 Char"/>
    <w:basedOn w:val="Standardstycketeckensnitt"/>
    <w:link w:val="Rubrik1"/>
    <w:uiPriority w:val="9"/>
    <w:rPr>
      <w:rFonts w:asciiTheme="majorHAnsi" w:eastAsiaTheme="majorEastAsia" w:hAnsiTheme="majorHAnsi" w:cstheme="majorBidi"/>
      <w:b/>
      <w:bCs/>
      <w:color w:val="365F91" w:themeColor="accent1" w:themeShade="BF"/>
      <w:sz w:val="28"/>
      <w:szCs w:val="28"/>
    </w:rPr>
  </w:style>
  <w:style w:type="character" w:customStyle="1" w:styleId="Rubrik2Char">
    <w:name w:val="Rubrik 2 Char"/>
    <w:basedOn w:val="Standardstycketeckensnitt"/>
    <w:link w:val="Rubrik2"/>
    <w:uiPriority w:val="9"/>
    <w:rPr>
      <w:rFonts w:asciiTheme="majorHAnsi" w:eastAsiaTheme="majorEastAsia" w:hAnsiTheme="majorHAnsi" w:cstheme="majorBidi"/>
      <w:b/>
      <w:bCs/>
      <w:color w:val="4F81BD" w:themeColor="accent1"/>
      <w:sz w:val="26"/>
      <w:szCs w:val="26"/>
    </w:rPr>
  </w:style>
  <w:style w:type="character" w:customStyle="1" w:styleId="Rubrik3Char">
    <w:name w:val="Rubrik 3 Char"/>
    <w:basedOn w:val="Standardstycketeckensnitt"/>
    <w:link w:val="Rubrik3"/>
    <w:uiPriority w:val="9"/>
    <w:rPr>
      <w:rFonts w:asciiTheme="majorHAnsi" w:eastAsiaTheme="majorEastAsia" w:hAnsiTheme="majorHAnsi" w:cstheme="majorBidi"/>
      <w:b/>
      <w:bCs/>
      <w:color w:val="4F81BD" w:themeColor="accent1"/>
    </w:rPr>
  </w:style>
  <w:style w:type="paragraph" w:styleId="Rubrik">
    <w:name w:val="Title"/>
    <w:basedOn w:val="Normal"/>
    <w:next w:val="Normal"/>
    <w:link w:val="RubrikChar"/>
    <w:uiPriority w:val="10"/>
    <w:qFormat/>
    <w:pPr>
      <w:spacing w:after="300" w:line="240" w:lineRule="auto"/>
      <w:contextualSpacing/>
    </w:pPr>
    <w:rPr>
      <w:rFonts w:asciiTheme="majorHAnsi" w:eastAsiaTheme="majorEastAsia" w:hAnsiTheme="majorHAnsi" w:cstheme="majorBidi"/>
      <w:color w:val="000000"/>
      <w:spacing w:val="5"/>
      <w:kern w:val="28"/>
      <w:sz w:val="48"/>
      <w:szCs w:val="52"/>
    </w:rPr>
  </w:style>
  <w:style w:type="character" w:customStyle="1" w:styleId="RubrikChar">
    <w:name w:val="Rubrik Char"/>
    <w:basedOn w:val="Standardstycketeckensnitt"/>
    <w:link w:val="Rubrik"/>
    <w:uiPriority w:val="10"/>
    <w:rPr>
      <w:rFonts w:asciiTheme="majorHAnsi" w:eastAsiaTheme="majorEastAsia" w:hAnsiTheme="majorHAnsi" w:cstheme="majorBidi"/>
      <w:color w:val="17365D" w:themeColor="text2" w:themeShade="BF"/>
      <w:spacing w:val="5"/>
      <w:kern w:val="28"/>
      <w:sz w:val="52"/>
      <w:szCs w:val="52"/>
    </w:rPr>
  </w:style>
  <w:style w:type="paragraph" w:styleId="Underrubrik">
    <w:name w:val="Subtitle"/>
    <w:basedOn w:val="Normal"/>
    <w:next w:val="Normal"/>
    <w:link w:val="UnderrubrikChar"/>
    <w:uiPriority w:val="11"/>
    <w:qFormat/>
    <w:pPr>
      <w:numPr>
        <w:ilvl w:val="1"/>
      </w:numPr>
    </w:pPr>
    <w:rPr>
      <w:rFonts w:asciiTheme="majorHAnsi" w:eastAsiaTheme="majorEastAsia" w:hAnsiTheme="majorHAnsi" w:cstheme="majorBidi"/>
      <w:i/>
      <w:iCs/>
      <w:color w:val="000000"/>
      <w:spacing w:val="15"/>
      <w:sz w:val="24"/>
      <w:szCs w:val="24"/>
    </w:rPr>
  </w:style>
  <w:style w:type="character" w:customStyle="1" w:styleId="UnderrubrikChar">
    <w:name w:val="Underrubrik Char"/>
    <w:basedOn w:val="Standardstycketeckensnitt"/>
    <w:link w:val="Underrubrik"/>
    <w:uiPriority w:val="11"/>
    <w:rPr>
      <w:rFonts w:asciiTheme="majorHAnsi" w:eastAsiaTheme="majorEastAsia" w:hAnsiTheme="majorHAnsi" w:cstheme="majorBidi"/>
      <w:i/>
      <w:iCs/>
      <w:color w:val="4F81BD" w:themeColor="accent1"/>
      <w:spacing w:val="15"/>
      <w:sz w:val="24"/>
      <w:szCs w:val="24"/>
    </w:rPr>
  </w:style>
  <w:style w:type="paragraph" w:styleId="Liststycke">
    <w:name w:val="List Paragraph"/>
    <w:basedOn w:val="Normal"/>
    <w:uiPriority w:val="34"/>
    <w:qFormat/>
    <w:pPr>
      <w:ind w:left="720"/>
      <w:contextualSpacing/>
    </w:pPr>
    <w:rPr>
      <w:color w:val="000000"/>
    </w:rPr>
  </w:style>
  <w:style w:type="paragraph" w:styleId="Brdtext">
    <w:name w:val="Body Text"/>
    <w:basedOn w:val="Normal"/>
    <w:link w:val="BrdtextChar"/>
    <w:uiPriority w:val="99"/>
    <w:unhideWhenUsed/>
    <w:rPr>
      <w:color w:val="000000"/>
    </w:rPr>
  </w:style>
  <w:style w:type="character" w:customStyle="1" w:styleId="BrdtextChar">
    <w:name w:val="Brödtext Char"/>
    <w:basedOn w:val="Standardstycketeckensnitt"/>
    <w:link w:val="Brdtext"/>
    <w:uiPriority w:val="99"/>
  </w:style>
  <w:style w:type="paragraph" w:styleId="Brdtext2">
    <w:name w:val="Body Text 2"/>
    <w:basedOn w:val="Normal"/>
    <w:link w:val="Brdtext2Char"/>
    <w:uiPriority w:val="99"/>
    <w:unhideWhenUsed/>
    <w:pPr>
      <w:spacing w:line="480" w:lineRule="auto"/>
    </w:pPr>
    <w:rPr>
      <w:color w:val="000000"/>
    </w:rPr>
  </w:style>
  <w:style w:type="character" w:customStyle="1" w:styleId="Brdtext2Char">
    <w:name w:val="Brödtext 2 Char"/>
    <w:basedOn w:val="Standardstycketeckensnitt"/>
    <w:link w:val="Brdtext2"/>
    <w:uiPriority w:val="99"/>
  </w:style>
  <w:style w:type="paragraph" w:styleId="Brdtext3">
    <w:name w:val="Body Text 3"/>
    <w:basedOn w:val="Normal"/>
    <w:link w:val="Brdtext3Char"/>
    <w:uiPriority w:val="99"/>
    <w:unhideWhenUsed/>
    <w:rPr>
      <w:color w:val="000000"/>
      <w:sz w:val="16"/>
      <w:szCs w:val="16"/>
    </w:rPr>
  </w:style>
  <w:style w:type="character" w:customStyle="1" w:styleId="Brdtext3Char">
    <w:name w:val="Brödtext 3 Char"/>
    <w:basedOn w:val="Standardstycketeckensnitt"/>
    <w:link w:val="Brdtext3"/>
    <w:uiPriority w:val="99"/>
    <w:rPr>
      <w:sz w:val="16"/>
      <w:szCs w:val="16"/>
    </w:rPr>
  </w:style>
  <w:style w:type="paragraph" w:styleId="Lista">
    <w:name w:val="List"/>
    <w:basedOn w:val="Normal"/>
    <w:uiPriority w:val="99"/>
    <w:unhideWhenUsed/>
    <w:pPr>
      <w:ind w:left="360" w:hanging="360"/>
      <w:contextualSpacing/>
    </w:pPr>
    <w:rPr>
      <w:color w:val="000000"/>
    </w:rPr>
  </w:style>
  <w:style w:type="paragraph" w:styleId="Lista2">
    <w:name w:val="List 2"/>
    <w:basedOn w:val="Normal"/>
    <w:uiPriority w:val="99"/>
    <w:unhideWhenUsed/>
    <w:pPr>
      <w:ind w:left="720" w:hanging="360"/>
      <w:contextualSpacing/>
    </w:pPr>
    <w:rPr>
      <w:color w:val="000000"/>
    </w:rPr>
  </w:style>
  <w:style w:type="paragraph" w:styleId="Lista3">
    <w:name w:val="List 3"/>
    <w:basedOn w:val="Normal"/>
    <w:uiPriority w:val="99"/>
    <w:unhideWhenUsed/>
    <w:pPr>
      <w:ind w:left="1080" w:hanging="360"/>
      <w:contextualSpacing/>
    </w:pPr>
    <w:rPr>
      <w:color w:val="000000"/>
    </w:rPr>
  </w:style>
  <w:style w:type="paragraph" w:styleId="Punktlista">
    <w:name w:val="List Bullet"/>
    <w:basedOn w:val="Normal"/>
    <w:uiPriority w:val="99"/>
    <w:unhideWhenUsed/>
    <w:pPr>
      <w:numPr>
        <w:numId w:val="1"/>
      </w:numPr>
      <w:contextualSpacing/>
    </w:pPr>
    <w:rPr>
      <w:rFonts w:ascii="Calibri" w:hAnsi="Calibri"/>
      <w:color w:val="000000"/>
      <w:sz w:val="21"/>
    </w:rPr>
  </w:style>
  <w:style w:type="paragraph" w:styleId="Punktlista2">
    <w:name w:val="List Bullet 2"/>
    <w:basedOn w:val="Normal"/>
    <w:uiPriority w:val="99"/>
    <w:unhideWhenUsed/>
    <w:pPr>
      <w:numPr>
        <w:numId w:val="2"/>
      </w:numPr>
      <w:contextualSpacing/>
    </w:pPr>
    <w:rPr>
      <w:color w:val="000000"/>
    </w:rPr>
  </w:style>
  <w:style w:type="paragraph" w:styleId="Punktlista3">
    <w:name w:val="List Bullet 3"/>
    <w:basedOn w:val="Normal"/>
    <w:uiPriority w:val="99"/>
    <w:unhideWhenUsed/>
    <w:pPr>
      <w:numPr>
        <w:numId w:val="3"/>
      </w:numPr>
      <w:contextualSpacing/>
    </w:pPr>
    <w:rPr>
      <w:color w:val="000000"/>
    </w:rPr>
  </w:style>
  <w:style w:type="paragraph" w:styleId="Numreradlista">
    <w:name w:val="List Number"/>
    <w:basedOn w:val="Normal"/>
    <w:uiPriority w:val="99"/>
    <w:unhideWhenUsed/>
    <w:pPr>
      <w:numPr>
        <w:numId w:val="5"/>
      </w:numPr>
      <w:contextualSpacing/>
    </w:pPr>
    <w:rPr>
      <w:color w:val="000000"/>
    </w:rPr>
  </w:style>
  <w:style w:type="paragraph" w:styleId="Numreradlista2">
    <w:name w:val="List Number 2"/>
    <w:basedOn w:val="Normal"/>
    <w:uiPriority w:val="99"/>
    <w:unhideWhenUsed/>
    <w:pPr>
      <w:numPr>
        <w:numId w:val="6"/>
      </w:numPr>
      <w:contextualSpacing/>
    </w:pPr>
    <w:rPr>
      <w:color w:val="000000"/>
    </w:rPr>
  </w:style>
  <w:style w:type="paragraph" w:styleId="Numreradlista3">
    <w:name w:val="List Number 3"/>
    <w:basedOn w:val="Normal"/>
    <w:uiPriority w:val="99"/>
    <w:unhideWhenUsed/>
    <w:pPr>
      <w:numPr>
        <w:numId w:val="7"/>
      </w:numPr>
      <w:contextualSpacing/>
    </w:pPr>
    <w:rPr>
      <w:color w:val="000000"/>
    </w:rPr>
  </w:style>
  <w:style w:type="paragraph" w:styleId="Listafortstt">
    <w:name w:val="List Continue"/>
    <w:basedOn w:val="Normal"/>
    <w:uiPriority w:val="99"/>
    <w:unhideWhenUsed/>
    <w:pPr>
      <w:ind w:left="360"/>
      <w:contextualSpacing/>
    </w:pPr>
    <w:rPr>
      <w:color w:val="000000"/>
    </w:rPr>
  </w:style>
  <w:style w:type="paragraph" w:styleId="Listafortstt2">
    <w:name w:val="List Continue 2"/>
    <w:basedOn w:val="Normal"/>
    <w:uiPriority w:val="99"/>
    <w:unhideWhenUsed/>
    <w:pPr>
      <w:ind w:left="720"/>
      <w:contextualSpacing/>
    </w:pPr>
    <w:rPr>
      <w:color w:val="000000"/>
    </w:rPr>
  </w:style>
  <w:style w:type="paragraph" w:styleId="Listafortstt3">
    <w:name w:val="List Continue 3"/>
    <w:basedOn w:val="Normal"/>
    <w:uiPriority w:val="99"/>
    <w:unhideWhenUsed/>
    <w:pPr>
      <w:ind w:left="1080"/>
      <w:contextualSpacing/>
    </w:pPr>
    <w:rPr>
      <w:color w:val="000000"/>
    </w:rPr>
  </w:style>
  <w:style w:type="paragraph" w:styleId="Makrotext">
    <w:name w:val="macro"/>
    <w:link w:val="MakrotextChar"/>
    <w:uiPriority w:val="99"/>
    <w:unhideWhenUse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krotextChar">
    <w:name w:val="Makrotext Char"/>
    <w:basedOn w:val="Standardstycketeckensnitt"/>
    <w:link w:val="Makrotext"/>
    <w:uiPriority w:val="99"/>
    <w:rPr>
      <w:rFonts w:ascii="Courier" w:hAnsi="Courier"/>
      <w:sz w:val="20"/>
      <w:szCs w:val="20"/>
    </w:rPr>
  </w:style>
  <w:style w:type="paragraph" w:styleId="Citat">
    <w:name w:val="Quote"/>
    <w:basedOn w:val="Normal"/>
    <w:next w:val="Normal"/>
    <w:link w:val="CitatChar"/>
    <w:uiPriority w:val="29"/>
    <w:qFormat/>
    <w:rPr>
      <w:i/>
      <w:iCs/>
      <w:color w:val="000000"/>
    </w:rPr>
  </w:style>
  <w:style w:type="character" w:customStyle="1" w:styleId="CitatChar">
    <w:name w:val="Citat Char"/>
    <w:basedOn w:val="Standardstycketeckensnitt"/>
    <w:link w:val="Citat"/>
    <w:uiPriority w:val="29"/>
    <w:rPr>
      <w:i/>
      <w:iCs/>
      <w:color w:val="000000" w:themeColor="text1"/>
    </w:rPr>
  </w:style>
  <w:style w:type="character" w:customStyle="1" w:styleId="Rubrik4Char">
    <w:name w:val="Rubrik 4 Char"/>
    <w:basedOn w:val="Standardstycketeckensnitt"/>
    <w:link w:val="Rubrik4"/>
    <w:uiPriority w:val="9"/>
    <w:semiHidden/>
    <w:rPr>
      <w:rFonts w:asciiTheme="majorHAnsi" w:eastAsiaTheme="majorEastAsia" w:hAnsiTheme="majorHAnsi" w:cstheme="majorBidi"/>
      <w:b/>
      <w:bCs/>
      <w:i/>
      <w:iCs/>
      <w:color w:val="4F81BD" w:themeColor="accent1"/>
    </w:rPr>
  </w:style>
  <w:style w:type="character" w:customStyle="1" w:styleId="Rubrik5Char">
    <w:name w:val="Rubrik 5 Char"/>
    <w:basedOn w:val="Standardstycketeckensnitt"/>
    <w:link w:val="Rubrik5"/>
    <w:uiPriority w:val="9"/>
    <w:semiHidden/>
    <w:rPr>
      <w:rFonts w:asciiTheme="majorHAnsi" w:eastAsiaTheme="majorEastAsia" w:hAnsiTheme="majorHAnsi" w:cstheme="majorBidi"/>
      <w:color w:val="243F60" w:themeColor="accent1" w:themeShade="7F"/>
    </w:rPr>
  </w:style>
  <w:style w:type="character" w:customStyle="1" w:styleId="Rubrik6Char">
    <w:name w:val="Rubrik 6 Char"/>
    <w:basedOn w:val="Standardstycketeckensnitt"/>
    <w:link w:val="Rubrik6"/>
    <w:uiPriority w:val="9"/>
    <w:semiHidden/>
    <w:rPr>
      <w:rFonts w:asciiTheme="majorHAnsi" w:eastAsiaTheme="majorEastAsia" w:hAnsiTheme="majorHAnsi" w:cstheme="majorBidi"/>
      <w:i/>
      <w:iCs/>
      <w:color w:val="243F60" w:themeColor="accent1" w:themeShade="7F"/>
    </w:rPr>
  </w:style>
  <w:style w:type="character" w:customStyle="1" w:styleId="Rubrik7Char">
    <w:name w:val="Rubrik 7 Char"/>
    <w:basedOn w:val="Standardstycketeckensnitt"/>
    <w:link w:val="Rubrik7"/>
    <w:uiPriority w:val="9"/>
    <w:semiHidden/>
    <w:rPr>
      <w:rFonts w:asciiTheme="majorHAnsi" w:eastAsiaTheme="majorEastAsia" w:hAnsiTheme="majorHAnsi" w:cstheme="majorBidi"/>
      <w:i/>
      <w:iCs/>
      <w:color w:val="404040" w:themeColor="text1" w:themeTint="BF"/>
    </w:rPr>
  </w:style>
  <w:style w:type="character" w:customStyle="1" w:styleId="Rubrik8Char">
    <w:name w:val="Rubrik 8 Char"/>
    <w:basedOn w:val="Standardstycketeckensnitt"/>
    <w:link w:val="Rubrik8"/>
    <w:uiPriority w:val="9"/>
    <w:semiHidden/>
    <w:rPr>
      <w:rFonts w:asciiTheme="majorHAnsi" w:eastAsiaTheme="majorEastAsia" w:hAnsiTheme="majorHAnsi" w:cstheme="majorBidi"/>
      <w:color w:val="4F81BD" w:themeColor="accent1"/>
      <w:sz w:val="20"/>
      <w:szCs w:val="20"/>
    </w:rPr>
  </w:style>
  <w:style w:type="character" w:customStyle="1" w:styleId="Rubrik9Char">
    <w:name w:val="Rubrik 9 Char"/>
    <w:basedOn w:val="Standardstycketeckensnitt"/>
    <w:link w:val="Rubrik9"/>
    <w:uiPriority w:val="9"/>
    <w:semiHidden/>
    <w:rPr>
      <w:rFonts w:asciiTheme="majorHAnsi" w:eastAsiaTheme="majorEastAsia" w:hAnsiTheme="majorHAnsi" w:cstheme="majorBidi"/>
      <w:i/>
      <w:iCs/>
      <w:color w:val="404040" w:themeColor="text1" w:themeTint="BF"/>
      <w:sz w:val="20"/>
      <w:szCs w:val="20"/>
    </w:rPr>
  </w:style>
  <w:style w:type="paragraph" w:styleId="Beskrivning">
    <w:name w:val="caption"/>
    <w:basedOn w:val="Normal"/>
    <w:next w:val="Normal"/>
    <w:uiPriority w:val="35"/>
    <w:semiHidden/>
    <w:unhideWhenUsed/>
    <w:qFormat/>
    <w:pPr>
      <w:spacing w:line="240" w:lineRule="auto"/>
    </w:pPr>
    <w:rPr>
      <w:b/>
      <w:bCs/>
      <w:color w:val="000000"/>
      <w:sz w:val="18"/>
      <w:szCs w:val="18"/>
    </w:rPr>
  </w:style>
  <w:style w:type="character" w:styleId="Stark">
    <w:name w:val="Strong"/>
    <w:basedOn w:val="Standardstycketeckensnitt"/>
    <w:uiPriority w:val="22"/>
    <w:qFormat/>
    <w:rPr>
      <w:b/>
      <w:bCs/>
    </w:rPr>
  </w:style>
  <w:style w:type="character" w:styleId="Betoning">
    <w:name w:val="Emphasis"/>
    <w:basedOn w:val="Standardstycketeckensnitt"/>
    <w:uiPriority w:val="20"/>
    <w:qFormat/>
    <w:rPr>
      <w:i/>
      <w:iCs/>
    </w:rPr>
  </w:style>
  <w:style w:type="paragraph" w:styleId="Starktcitat">
    <w:name w:val="Intense Quote"/>
    <w:basedOn w:val="Normal"/>
    <w:next w:val="Normal"/>
    <w:link w:val="StarktcitatChar"/>
    <w:uiPriority w:val="30"/>
    <w:qFormat/>
    <w:pPr>
      <w:spacing w:before="200" w:after="280"/>
      <w:ind w:left="936" w:right="936"/>
    </w:pPr>
    <w:rPr>
      <w:b/>
      <w:bCs/>
      <w:i/>
      <w:iCs/>
      <w:color w:val="000000"/>
    </w:rPr>
  </w:style>
  <w:style w:type="character" w:customStyle="1" w:styleId="StarktcitatChar">
    <w:name w:val="Starkt citat Char"/>
    <w:basedOn w:val="Standardstycketeckensnitt"/>
    <w:link w:val="Starktcitat"/>
    <w:uiPriority w:val="30"/>
    <w:rPr>
      <w:b/>
      <w:bCs/>
      <w:i/>
      <w:iCs/>
      <w:color w:val="4F81BD" w:themeColor="accent1"/>
    </w:rPr>
  </w:style>
  <w:style w:type="character" w:styleId="Diskretbetoning">
    <w:name w:val="Subtle Emphasis"/>
    <w:basedOn w:val="Standardstycketeckensnitt"/>
    <w:uiPriority w:val="19"/>
    <w:qFormat/>
    <w:rPr>
      <w:i/>
      <w:iCs/>
      <w:color w:val="808080" w:themeColor="text1" w:themeTint="7F"/>
    </w:rPr>
  </w:style>
  <w:style w:type="character" w:styleId="Starkbetoning">
    <w:name w:val="Intense Emphasis"/>
    <w:basedOn w:val="Standardstycketeckensnitt"/>
    <w:uiPriority w:val="21"/>
    <w:qFormat/>
    <w:rPr>
      <w:b/>
      <w:bCs/>
      <w:i/>
      <w:iCs/>
      <w:color w:val="4F81BD" w:themeColor="accent1"/>
    </w:rPr>
  </w:style>
  <w:style w:type="character" w:styleId="Diskretreferens">
    <w:name w:val="Subtle Reference"/>
    <w:basedOn w:val="Standardstycketeckensnitt"/>
    <w:uiPriority w:val="31"/>
    <w:qFormat/>
    <w:rPr>
      <w:smallCaps/>
      <w:color w:val="C0504D" w:themeColor="accent2"/>
      <w:u w:val="single"/>
    </w:rPr>
  </w:style>
  <w:style w:type="character" w:styleId="Starkreferens">
    <w:name w:val="Intense Reference"/>
    <w:basedOn w:val="Standardstycketeckensnitt"/>
    <w:uiPriority w:val="32"/>
    <w:qFormat/>
    <w:rPr>
      <w:b/>
      <w:bCs/>
      <w:smallCaps/>
      <w:color w:val="C0504D" w:themeColor="accent2"/>
      <w:spacing w:val="5"/>
      <w:u w:val="single"/>
    </w:rPr>
  </w:style>
  <w:style w:type="character" w:styleId="Bokenstitel">
    <w:name w:val="Book Title"/>
    <w:basedOn w:val="Standardstycketeckensnitt"/>
    <w:uiPriority w:val="33"/>
    <w:qFormat/>
    <w:rPr>
      <w:b/>
      <w:bCs/>
      <w:smallCaps/>
      <w:spacing w:val="5"/>
    </w:rPr>
  </w:style>
  <w:style w:type="paragraph" w:styleId="Innehllsfrteckningsrubrik">
    <w:name w:val="TOC Heading"/>
    <w:basedOn w:val="Rubrik1"/>
    <w:next w:val="Normal"/>
    <w:uiPriority w:val="39"/>
    <w:semiHidden/>
    <w:unhideWhenUsed/>
    <w:qFormat/>
    <w:pPr>
      <w:outlineLvl w:val="9"/>
    </w:pPr>
    <w:rPr>
      <w:color w:val="000000"/>
    </w:rPr>
  </w:style>
  <w:style w:type="table" w:styleId="Tabellrutnt">
    <w:name w:val="Table Grid"/>
    <w:basedOn w:val="Normaltabel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jusskuggning">
    <w:name w:val="Light Shading"/>
    <w:basedOn w:val="Normaltabell"/>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jusskuggning-dekorfrg1">
    <w:name w:val="Light Shading Accent 1"/>
    <w:basedOn w:val="Normaltabell"/>
    <w:uiPriority w:val="60"/>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jusskuggning-dekorfrg2">
    <w:name w:val="Light Shading Accent 2"/>
    <w:basedOn w:val="Normaltabell"/>
    <w:uiPriority w:val="60"/>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jusskuggning-dekorfrg3">
    <w:name w:val="Light Shading Accent 3"/>
    <w:basedOn w:val="Normaltabell"/>
    <w:uiPriority w:val="60"/>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jusskuggning-dekorfrg4">
    <w:name w:val="Light Shading Accent 4"/>
    <w:basedOn w:val="Normaltabell"/>
    <w:uiPriority w:val="60"/>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jusskuggning-dekorfrg5">
    <w:name w:val="Light Shading Accent 5"/>
    <w:basedOn w:val="Normaltabell"/>
    <w:uiPriority w:val="60"/>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jusskuggning-dekorfrg6">
    <w:name w:val="Light Shading Accent 6"/>
    <w:basedOn w:val="Normaltabell"/>
    <w:uiPriority w:val="60"/>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juslista">
    <w:name w:val="Light List"/>
    <w:basedOn w:val="Normaltabell"/>
    <w:uiPriority w:val="61"/>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juslista-dekorfrg1">
    <w:name w:val="Light List Accent 1"/>
    <w:basedOn w:val="Normaltabell"/>
    <w:uiPriority w:val="61"/>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juslista-dekorfrg2">
    <w:name w:val="Light List Accent 2"/>
    <w:basedOn w:val="Normaltabell"/>
    <w:uiPriority w:val="61"/>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juslista-dekorfrg3">
    <w:name w:val="Light List Accent 3"/>
    <w:basedOn w:val="Normaltabell"/>
    <w:uiPriority w:val="61"/>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juslista-dekorfrg4">
    <w:name w:val="Light List Accent 4"/>
    <w:basedOn w:val="Normaltabell"/>
    <w:uiPriority w:val="61"/>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juslista-dekorfrg5">
    <w:name w:val="Light List Accent 5"/>
    <w:basedOn w:val="Normaltabell"/>
    <w:uiPriority w:val="61"/>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juslista-dekorfrg6">
    <w:name w:val="Light List Accent 6"/>
    <w:basedOn w:val="Normaltabell"/>
    <w:uiPriority w:val="61"/>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justrutnt">
    <w:name w:val="Light Grid"/>
    <w:basedOn w:val="Normaltabell"/>
    <w:uiPriority w:val="62"/>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justrutnt-dekorfrg1">
    <w:name w:val="Light Grid Accent 1"/>
    <w:basedOn w:val="Normaltabell"/>
    <w:uiPriority w:val="62"/>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justrutnt-dekorfrg2">
    <w:name w:val="Light Grid Accent 2"/>
    <w:basedOn w:val="Normaltabell"/>
    <w:uiPriority w:val="62"/>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justrutnt-dekorfrg3">
    <w:name w:val="Light Grid Accent 3"/>
    <w:basedOn w:val="Normaltabell"/>
    <w:uiPriority w:val="62"/>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justrutnt-dekorfrg4">
    <w:name w:val="Light Grid Accent 4"/>
    <w:basedOn w:val="Normaltabell"/>
    <w:uiPriority w:val="62"/>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justrutnt-dekorfrg5">
    <w:name w:val="Light Grid Accent 5"/>
    <w:basedOn w:val="Normaltabell"/>
    <w:uiPriority w:val="62"/>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justrutnt-dekorfrg6">
    <w:name w:val="Light Grid Accent 6"/>
    <w:basedOn w:val="Normaltabell"/>
    <w:uiPriority w:val="62"/>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llanmrkskuggning1">
    <w:name w:val="Medium Shading 1"/>
    <w:basedOn w:val="Normaltabell"/>
    <w:uiPriority w:val="63"/>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llanmrkskuggning1-dekorfrg1">
    <w:name w:val="Medium Shading 1 Accent 1"/>
    <w:basedOn w:val="Normaltabell"/>
    <w:uiPriority w:val="63"/>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llanmrkskuggning1-dekorfrg2">
    <w:name w:val="Medium Shading 1 Accent 2"/>
    <w:basedOn w:val="Normaltabell"/>
    <w:uiPriority w:val="63"/>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llanmrkskuggning1-dekorfrg3">
    <w:name w:val="Medium Shading 1 Accent 3"/>
    <w:basedOn w:val="Normaltabell"/>
    <w:uiPriority w:val="63"/>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llanmrkskuggning1-dekorfrg4">
    <w:name w:val="Medium Shading 1 Accent 4"/>
    <w:basedOn w:val="Normaltabell"/>
    <w:uiPriority w:val="63"/>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llanmrkskuggning1-dekorfrg5">
    <w:name w:val="Medium Shading 1 Accent 5"/>
    <w:basedOn w:val="Normaltabell"/>
    <w:uiPriority w:val="63"/>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llanmrkskuggning1-dekorfrg6">
    <w:name w:val="Medium Shading 1 Accent 6"/>
    <w:basedOn w:val="Normaltabell"/>
    <w:uiPriority w:val="63"/>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llanmrkskuggning2">
    <w:name w:val="Medium Shading 2"/>
    <w:basedOn w:val="Normaltabel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1">
    <w:name w:val="Medium Shading 2 Accent 1"/>
    <w:basedOn w:val="Normaltabel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2">
    <w:name w:val="Medium Shading 2 Accent 2"/>
    <w:basedOn w:val="Normaltabel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3">
    <w:name w:val="Medium Shading 2 Accent 3"/>
    <w:basedOn w:val="Normaltabel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4">
    <w:name w:val="Medium Shading 2 Accent 4"/>
    <w:basedOn w:val="Normaltabel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5">
    <w:name w:val="Medium Shading 2 Accent 5"/>
    <w:basedOn w:val="Normaltabel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6">
    <w:name w:val="Medium Shading 2 Accent 6"/>
    <w:basedOn w:val="Normaltabel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lista1">
    <w:name w:val="Medium List 1"/>
    <w:basedOn w:val="Normaltabell"/>
    <w:uiPriority w:val="65"/>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llanmrklista1-dekorfrg1">
    <w:name w:val="Medium List 1 Accent 1"/>
    <w:basedOn w:val="Normaltabell"/>
    <w:uiPriority w:val="65"/>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llanmrklista1-dekorfrg2">
    <w:name w:val="Medium List 1 Accent 2"/>
    <w:basedOn w:val="Normaltabell"/>
    <w:uiPriority w:val="65"/>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llanmrklista1-dekorfrg3">
    <w:name w:val="Medium List 1 Accent 3"/>
    <w:basedOn w:val="Normaltabell"/>
    <w:uiPriority w:val="65"/>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llanmrklista1-dekorfrg4">
    <w:name w:val="Medium List 1 Accent 4"/>
    <w:basedOn w:val="Normaltabell"/>
    <w:uiPriority w:val="65"/>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llanmrklista1-dekorfrg5">
    <w:name w:val="Medium List 1 Accent 5"/>
    <w:basedOn w:val="Normaltabell"/>
    <w:uiPriority w:val="65"/>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llanmrklista1-dekorfrg6">
    <w:name w:val="Medium List 1 Accent 6"/>
    <w:basedOn w:val="Normaltabell"/>
    <w:uiPriority w:val="65"/>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llanmrklista2">
    <w:name w:val="Medium List 2"/>
    <w:basedOn w:val="Normaltabel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1">
    <w:name w:val="Medium List 2 Accent 1"/>
    <w:basedOn w:val="Normaltabel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2">
    <w:name w:val="Medium List 2 Accent 2"/>
    <w:basedOn w:val="Normaltabel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3">
    <w:name w:val="Medium List 2 Accent 3"/>
    <w:basedOn w:val="Normaltabel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4">
    <w:name w:val="Medium List 2 Accent 4"/>
    <w:basedOn w:val="Normaltabel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5">
    <w:name w:val="Medium List 2 Accent 5"/>
    <w:basedOn w:val="Normaltabel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6">
    <w:name w:val="Medium List 2 Accent 6"/>
    <w:basedOn w:val="Normaltabel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trutnt1">
    <w:name w:val="Medium Grid 1"/>
    <w:basedOn w:val="Normaltabell"/>
    <w:uiPriority w:val="6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llanmrktrutnt1-dekorfrg1">
    <w:name w:val="Medium Grid 1 Accent 1"/>
    <w:basedOn w:val="Normaltabell"/>
    <w:uiPriority w:val="67"/>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llanmrktrutnt1-dekorfrg2">
    <w:name w:val="Medium Grid 1 Accent 2"/>
    <w:basedOn w:val="Normaltabell"/>
    <w:uiPriority w:val="67"/>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llanmrktrutnt1-dekorfrg3">
    <w:name w:val="Medium Grid 1 Accent 3"/>
    <w:basedOn w:val="Normaltabell"/>
    <w:uiPriority w:val="67"/>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llanmrktrutnt1-dekorfrg4">
    <w:name w:val="Medium Grid 1 Accent 4"/>
    <w:basedOn w:val="Normaltabell"/>
    <w:uiPriority w:val="67"/>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llanmrktrutnt1-dekorfrg5">
    <w:name w:val="Medium Grid 1 Accent 5"/>
    <w:basedOn w:val="Normaltabell"/>
    <w:uiPriority w:val="67"/>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llanmrktrutnt1-dekorfrg6">
    <w:name w:val="Medium Grid 1 Accent 6"/>
    <w:basedOn w:val="Normaltabell"/>
    <w:uiPriority w:val="67"/>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llanmrktrutnt2">
    <w:name w:val="Medium Grid 2"/>
    <w:basedOn w:val="Normaltabel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llanmrktrutnt2-dekorfrg1">
    <w:name w:val="Medium Grid 2 Accent 1"/>
    <w:basedOn w:val="Normaltabel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llanmrktrutnt2-dekorfrg2">
    <w:name w:val="Medium Grid 2 Accent 2"/>
    <w:basedOn w:val="Normaltabel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llanmrktrutnt2-dekorfrg3">
    <w:name w:val="Medium Grid 2 Accent 3"/>
    <w:basedOn w:val="Normaltabel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llanmrktrutnt2-dekorfrg4">
    <w:name w:val="Medium Grid 2 Accent 4"/>
    <w:basedOn w:val="Normaltabel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llanmrktrutnt2-dekorfrg5">
    <w:name w:val="Medium Grid 2 Accent 5"/>
    <w:basedOn w:val="Normaltabel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llanmrktrutnt2-dekorfrg6">
    <w:name w:val="Medium Grid 2 Accent 6"/>
    <w:basedOn w:val="Normaltabel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llanmrktrutnt3">
    <w:name w:val="Medium Grid 3"/>
    <w:basedOn w:val="Normaltabel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llanmrktrutnt3-dekorfrg1">
    <w:name w:val="Medium Grid 3 Accent 1"/>
    <w:basedOn w:val="Normaltabel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llanmrktrutnt3-dekorfrg2">
    <w:name w:val="Medium Grid 3 Accent 2"/>
    <w:basedOn w:val="Normaltabel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llanmrktrutnt3-dekorfrg3">
    <w:name w:val="Medium Grid 3 Accent 3"/>
    <w:basedOn w:val="Normaltabel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llanmrktrutnt3-dekorfrg4">
    <w:name w:val="Medium Grid 3 Accent 4"/>
    <w:basedOn w:val="Normaltabel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llanmrktrutnt3-dekorfrg5">
    <w:name w:val="Medium Grid 3 Accent 5"/>
    <w:basedOn w:val="Normaltabel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llanmrktrutnt3-dekorfrg6">
    <w:name w:val="Medium Grid 3 Accent 6"/>
    <w:basedOn w:val="Normaltabel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rklista">
    <w:name w:val="Dark List"/>
    <w:basedOn w:val="Normaltabell"/>
    <w:uiPriority w:val="70"/>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a-dekorfrg1">
    <w:name w:val="Dark List Accent 1"/>
    <w:basedOn w:val="Normaltabell"/>
    <w:uiPriority w:val="70"/>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Mrklista-dekorfrg2">
    <w:name w:val="Dark List Accent 2"/>
    <w:basedOn w:val="Normaltabell"/>
    <w:uiPriority w:val="70"/>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Mrklista-dekorfrg3">
    <w:name w:val="Dark List Accent 3"/>
    <w:basedOn w:val="Normaltabell"/>
    <w:uiPriority w:val="70"/>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Mrklista-dekorfrg4">
    <w:name w:val="Dark List Accent 4"/>
    <w:basedOn w:val="Normaltabell"/>
    <w:uiPriority w:val="70"/>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Mrklista-dekorfrg5">
    <w:name w:val="Dark List Accent 5"/>
    <w:basedOn w:val="Normaltabell"/>
    <w:uiPriority w:val="70"/>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Mrklista-dekorfrg6">
    <w:name w:val="Dark List Accent 6"/>
    <w:basedOn w:val="Normaltabell"/>
    <w:uiPriority w:val="70"/>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rgadskuggning">
    <w:name w:val="Colorful Shading"/>
    <w:basedOn w:val="Normaltabell"/>
    <w:uiPriority w:val="71"/>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rgadskuggning-dekorfrg1">
    <w:name w:val="Colorful Shading Accent 1"/>
    <w:basedOn w:val="Normaltabell"/>
    <w:uiPriority w:val="71"/>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rgadskuggning-dekorfrg2">
    <w:name w:val="Colorful Shading Accent 2"/>
    <w:basedOn w:val="Normaltabell"/>
    <w:uiPriority w:val="71"/>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rgadskuggning-dekorfrg3">
    <w:name w:val="Colorful Shading Accent 3"/>
    <w:basedOn w:val="Normaltabell"/>
    <w:uiPriority w:val="71"/>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rgadskuggning-dekorfrg4">
    <w:name w:val="Colorful Shading Accent 4"/>
    <w:basedOn w:val="Normaltabell"/>
    <w:uiPriority w:val="71"/>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rgadskuggning-dekorfrg5">
    <w:name w:val="Colorful Shading Accent 5"/>
    <w:basedOn w:val="Normaltabell"/>
    <w:uiPriority w:val="71"/>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rgadskuggning-dekorfrg6">
    <w:name w:val="Colorful Shading Accent 6"/>
    <w:basedOn w:val="Normaltabell"/>
    <w:uiPriority w:val="71"/>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rgadlista">
    <w:name w:val="Colorful List"/>
    <w:basedOn w:val="Normaltabell"/>
    <w:uiPriority w:val="72"/>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rgadlista-dekorfrg1">
    <w:name w:val="Colorful List Accent 1"/>
    <w:basedOn w:val="Normaltabell"/>
    <w:uiPriority w:val="72"/>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rgadlista-dekorfrg2">
    <w:name w:val="Colorful List Accent 2"/>
    <w:basedOn w:val="Normaltabell"/>
    <w:uiPriority w:val="72"/>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rgadlista-dekorfrg3">
    <w:name w:val="Colorful List Accent 3"/>
    <w:basedOn w:val="Normaltabell"/>
    <w:uiPriority w:val="72"/>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rgadlista-dekorfrg4">
    <w:name w:val="Colorful List Accent 4"/>
    <w:basedOn w:val="Normaltabell"/>
    <w:uiPriority w:val="72"/>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rgadlista-dekorfrg5">
    <w:name w:val="Colorful List Accent 5"/>
    <w:basedOn w:val="Normaltabell"/>
    <w:uiPriority w:val="72"/>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rgadlista-dekorfrg6">
    <w:name w:val="Colorful List Accent 6"/>
    <w:basedOn w:val="Normaltabell"/>
    <w:uiPriority w:val="72"/>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rgatrutnt">
    <w:name w:val="Colorful Grid"/>
    <w:basedOn w:val="Normaltabel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rgatrutnt-dekorfrg1">
    <w:name w:val="Colorful Grid Accent 1"/>
    <w:basedOn w:val="Normaltabel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rgatrutnt-dekorfrg2">
    <w:name w:val="Colorful Grid Accent 2"/>
    <w:basedOn w:val="Normaltabel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rgatrutnt-dekorfrg3">
    <w:name w:val="Colorful Grid Accent 3"/>
    <w:basedOn w:val="Normaltabel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rgatrutnt-dekorfrg4">
    <w:name w:val="Colorful Grid Accent 4"/>
    <w:basedOn w:val="Normaltabel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rgatrutnt-dekorfrg5">
    <w:name w:val="Colorful Grid Accent 5"/>
    <w:basedOn w:val="Normaltabel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rgatrutnt-dekorfrg6">
    <w:name w:val="Colorful Grid Accent 6"/>
    <w:basedOn w:val="Normaltabel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2">
    <w:name w:val="Subtitle2"/>
    <w:rPr>
      <w:rFonts w:ascii="Aptos" w:hAnsi="Aptos"/>
      <w:i/>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2938</Words>
  <Characters>15577</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18479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2000 technical report</dc:title>
  <dc:subject>Current restoration method and general recording recommendations</dc:subject>
  <dc:creator/>
  <cp:keywords/>
  <dc:description/>
  <cp:lastModifiedBy/>
  <cp:revision>1</cp:revision>
  <dcterms:created xsi:type="dcterms:W3CDTF">2026-09-10T07:30:00Z</dcterms:created>
  <dcterms:modified xsi:type="dcterms:W3CDTF">2026-09-10T07:30:00Z</dcterms:modified>
  <cp:category/>
  <cp:version>0.4</cp:version>
</cp:coreProperties>
</file>