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jc w:val="center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Phoenix Nuclear Power Plant (PNPP) Station Documentation &amp; Reference Dossier</w:t>
      </w:r>
    </w:p>
    <w:p>
      <w:pPr>
        <w:pStyle w:val="Style13"/>
        <w:widowControl/>
        <w:bidi w:val="0"/>
        <w:spacing w:before="0" w:after="160"/>
        <w:ind w:right="567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/>
          <w:i/>
          <w:iCs/>
          <w:caps w:val="false"/>
          <w:smallCaps w:val="false"/>
          <w:color w:val="1C1C1C"/>
          <w:spacing w:val="0"/>
          <w:sz w:val="24"/>
          <w:szCs w:val="24"/>
          <w:lang w:val="en-US"/>
        </w:rPr>
      </w:pPr>
      <w:r>
        <w:rPr/>
      </w:r>
    </w:p>
    <w:p>
      <w:pPr>
        <w:pStyle w:val="Style13"/>
        <w:widowControl/>
        <w:bidi w:val="0"/>
        <w:spacing w:before="0" w:after="160"/>
        <w:ind w:right="567" w:hanging="0"/>
        <w:jc w:val="left"/>
        <w:rPr/>
      </w:pP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/>
          <w:iCs/>
          <w:caps w:val="false"/>
          <w:smallCaps w:val="false"/>
          <w:color w:val="1C1C1C"/>
          <w:spacing w:val="0"/>
          <w:sz w:val="24"/>
          <w:szCs w:val="24"/>
          <w:lang w:val="en-US"/>
        </w:rPr>
        <w:t>"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iCs w:val="false"/>
          <w:caps w:val="false"/>
          <w:smallCaps w:val="false"/>
          <w:color w:val="1C1C1C"/>
          <w:spacing w:val="0"/>
          <w:sz w:val="24"/>
          <w:szCs w:val="24"/>
          <w:lang w:val="en-US"/>
        </w:rPr>
        <w:t>From the desert, power without end.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/>
          <w:iCs/>
          <w:caps w:val="false"/>
          <w:smallCaps w:val="false"/>
          <w:color w:val="1C1C1C"/>
          <w:spacing w:val="0"/>
          <w:sz w:val="24"/>
          <w:szCs w:val="24"/>
          <w:lang w:val="en-US"/>
        </w:rPr>
        <w:t xml:space="preserve">"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/>
          <w:iCs/>
          <w:caps w:val="false"/>
          <w:smallCaps w:val="false"/>
          <w:color w:val="1C1C1C"/>
          <w:spacing w:val="0"/>
          <w:sz w:val="24"/>
          <w:szCs w:val="24"/>
          <w:lang w:val="en-US"/>
        </w:rPr>
        <w:t xml:space="preserve">—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iCs w:val="false"/>
          <w:caps w:val="false"/>
          <w:smallCaps w:val="false"/>
          <w:color w:val="1C1C1C"/>
          <w:spacing w:val="0"/>
          <w:sz w:val="24"/>
          <w:szCs w:val="24"/>
          <w:lang w:val="en-US"/>
        </w:rPr>
        <w:t>Desert Horizons Energy station motto, cast in bronze at the Unit 1 turbine deck entrance since 1999.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/>
          <w:iCs/>
          <w:caps w:val="false"/>
          <w:smallCaps w:val="false"/>
          <w:color w:val="1C1C1C"/>
          <w:spacing w:val="0"/>
          <w:sz w:val="24"/>
          <w:szCs w:val="24"/>
          <w:u w:val="none"/>
          <w:lang w:val="en-US"/>
        </w:rPr>
        <w:b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sz w:val="24"/>
          <w:szCs w:val="24"/>
        </w:rPr>
        <w:t>Operator: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Desert Horizons Energy Corporation (DHE)</w:t>
        <w:br/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sz w:val="24"/>
          <w:szCs w:val="24"/>
        </w:rPr>
        <w:t>Location: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Sonoran Desert, southwestern Maricopa County, Arizona, USA </w:t>
        <w:br/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sz w:val="24"/>
          <w:szCs w:val="24"/>
        </w:rPr>
        <w:t>Document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sz w:val="24"/>
          <w:szCs w:val="24"/>
        </w:rPr>
        <w:t>status: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bCs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Current as of mid-summer 2027 (Rev. 14, July 2027)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br/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sz w:val="24"/>
          <w:szCs w:val="24"/>
        </w:rPr>
        <w:t>Classification: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Public / General Reference</w:t>
      </w:r>
    </w:p>
    <w:p>
      <w:pPr>
        <w:pStyle w:val="Style13"/>
        <w:widowControl/>
        <w:bidi w:val="0"/>
        <w:spacing w:before="0" w:after="160"/>
        <w:ind w:right="567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iCs w:val="false"/>
          <w:caps w:val="false"/>
          <w:smallCaps w:val="false"/>
          <w:color w:val="1C1C1C"/>
          <w:spacing w:val="0"/>
          <w:sz w:val="24"/>
          <w:szCs w:val="24"/>
          <w:lang w:val="en-US"/>
        </w:rPr>
      </w:pPr>
      <w:r>
        <w:rPr/>
      </w:r>
    </w:p>
    <w:p>
      <w:pPr>
        <w:pStyle w:val="Style13"/>
        <w:widowControl/>
        <w:bidi w:val="0"/>
        <w:spacing w:before="0" w:after="160"/>
        <w:ind w:right="567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iCs w:val="false"/>
          <w:caps w:val="false"/>
          <w:smallCaps w:val="false"/>
          <w:color w:val="1C1C1C"/>
          <w:spacing w:val="0"/>
          <w:sz w:val="24"/>
          <w:szCs w:val="24"/>
          <w:lang w:val="en-US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/>
          <w:iCs/>
          <w:caps w:val="false"/>
          <w:smallCaps w:val="false"/>
          <w:color w:val="1C1C1C"/>
          <w:spacing w:val="0"/>
          <w:sz w:val="16"/>
          <w:szCs w:val="16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 w:val="false"/>
          <w:iCs w:val="false"/>
          <w:caps w:val="false"/>
          <w:smallCaps w:val="false"/>
          <w:color w:val="1C1C1C"/>
          <w:spacing w:val="0"/>
          <w:sz w:val="24"/>
          <w:szCs w:val="24"/>
          <w:u w:val="none"/>
          <w:lang w:val="en-US"/>
        </w:rPr>
        <w:t>Published by the DHE Simulations team.</w:t>
        <w:br/>
        <w:t>Written and verified by nectariich.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bCs/>
          <w:i/>
          <w:i/>
          <w:iCs/>
          <w:caps w:val="false"/>
          <w:smallCaps w:val="false"/>
          <w:color w:val="1C1C1C"/>
          <w:spacing w:val="0"/>
          <w:sz w:val="24"/>
          <w:szCs w:val="24"/>
          <w:u w:val="none"/>
          <w:lang w:val="en-US"/>
        </w:rPr>
      </w:pPr>
      <w:r>
        <w:rPr/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Cs/>
          <w:caps w:val="false"/>
          <w:smallCaps w:val="false"/>
          <w:color w:val="1C1C1C"/>
          <w:spacing w:val="0"/>
          <w:sz w:val="16"/>
          <w:szCs w:val="16"/>
          <w:lang w:val="en-US"/>
        </w:rPr>
        <w:t>N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Cs/>
          <w:caps w:val="false"/>
          <w:smallCaps w:val="false"/>
          <w:color w:val="1C1C1C"/>
          <w:spacing w:val="0"/>
          <w:sz w:val="16"/>
          <w:szCs w:val="16"/>
          <w:lang w:val="en-US"/>
        </w:rPr>
        <w:t>O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Cs/>
          <w:caps w:val="false"/>
          <w:smallCaps w:val="false"/>
          <w:color w:val="1C1C1C"/>
          <w:spacing w:val="0"/>
          <w:sz w:val="16"/>
          <w:szCs w:val="16"/>
          <w:lang w:val="en-US"/>
        </w:rPr>
        <w:t xml:space="preserve">TE 1: 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Cs/>
          <w:caps w:val="false"/>
          <w:smallCaps w:val="false"/>
          <w:color w:val="1C1C1C"/>
          <w:spacing w:val="0"/>
          <w:sz w:val="16"/>
          <w:szCs w:val="16"/>
        </w:rPr>
        <w:t>This is a fictional document. Desert Horizons Energy, the Phoenix Nuclear Power Plant, its ownership consortium, personnel, and license/docket numbers are invented. Reactor designs (Westinghouse 4-loop PWR, US EPR) and named equipment vendors (Westinghouse, Framatome, GE, Arabelle Solutions/EDF, Mitsubishi Heavy Industries, Japan Steel Works, Emerson, Siemens, Rolls-Royce mtu, Fairbanks Morse, Holtec, Combustion Engineering) are real; their attribution here is a plausible fictional configuration, not a statement of any actual contract or installation.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Cs/>
          <w:caps w:val="false"/>
          <w:smallCaps w:val="false"/>
          <w:color w:val="1C1C1C"/>
          <w:spacing w:val="0"/>
          <w:sz w:val="16"/>
          <w:szCs w:val="16"/>
          <w:lang w:val="en-US"/>
        </w:rPr>
        <w:t xml:space="preserve"> Every event happening with any, even far involvement of Desert Horizons Energy, Phoenix Nuclear Power Plant, are fictional.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Cs/>
          <w:caps w:val="false"/>
          <w:smallCaps w:val="false"/>
          <w:color w:val="1C1C1C"/>
          <w:spacing w:val="0"/>
          <w:sz w:val="16"/>
          <w:szCs w:val="16"/>
        </w:rPr>
        <w:br/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Cs/>
          <w:caps w:val="false"/>
          <w:smallCaps w:val="false"/>
          <w:color w:val="1C1C1C"/>
          <w:spacing w:val="0"/>
          <w:sz w:val="16"/>
          <w:szCs w:val="16"/>
          <w:lang w:val="en-US"/>
        </w:rPr>
        <w:t xml:space="preserve">NOTE 2: The document was actually written on 04.08.2026. 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/>
          <w:bCs/>
          <w:i/>
          <w:iCs/>
          <w:caps w:val="false"/>
          <w:smallCaps w:val="false"/>
          <w:color w:val="1C1C1C"/>
          <w:spacing w:val="0"/>
          <w:sz w:val="16"/>
          <w:szCs w:val="16"/>
          <w:lang w:val="en-US"/>
        </w:rPr>
        <w:t>All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/>
          <w:iCs/>
          <w:caps w:val="false"/>
          <w:smallCaps w:val="false"/>
          <w:color w:val="1C1C1C"/>
          <w:spacing w:val="0"/>
          <w:sz w:val="16"/>
          <w:szCs w:val="16"/>
          <w:lang w:val="en-US"/>
        </w:rPr>
        <w:t xml:space="preserve"> events happening past that date are fictional.</w:t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1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 xml:space="preserve">.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Over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vi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ew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The Phoenix Nuclear Power Plant is a two-unit nuclear generating station located roughly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55 miles southwest of downtown Phoenix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, in the open Sonoran Desert of southwestern Maricopa County, near the unincorporated locality of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Ocotillo Flats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. It is owned by a seven-member consortium and operated by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Desert Horizons Energy Corporation (DHE)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, an investor-owned utility headquartered in Phoenix.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The station comprises two dissimilar pressurized-water reactors of different generations:</w:t>
      </w:r>
    </w:p>
    <w:tbl>
      <w:tblPr>
        <w:tblW w:w="7374" w:type="dxa"/>
        <w:jc w:val="left"/>
        <w:tblInd w:w="0" w:type="dxa"/>
        <w:tblLayout w:type="fixed"/>
        <w:tblCellMar>
          <w:top w:w="0" w:type="dxa"/>
          <w:left w:w="0" w:type="dxa"/>
          <w:bottom w:w="50" w:type="dxa"/>
          <w:right w:w="0" w:type="dxa"/>
        </w:tblCellMar>
      </w:tblPr>
      <w:tblGrid>
        <w:gridCol w:w="2378"/>
        <w:gridCol w:w="2749"/>
        <w:gridCol w:w="2247"/>
      </w:tblGrid>
      <w:tr>
        <w:trPr>
          <w:tblHeader w:val="true"/>
        </w:trPr>
        <w:tc>
          <w:tcPr>
            <w:tcW w:w="237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</w:r>
          </w:p>
        </w:tc>
        <w:tc>
          <w:tcPr>
            <w:tcW w:w="274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/>
            </w:pPr>
            <w:r>
              <w:rPr>
                <w:rStyle w:val="Strong"/>
                <w:b/>
                <w:color w:val="1C1C1C"/>
                <w:sz w:val="24"/>
                <w:szCs w:val="24"/>
              </w:rPr>
              <w:t>Unit 1</w:t>
            </w:r>
          </w:p>
        </w:tc>
        <w:tc>
          <w:tcPr>
            <w:tcW w:w="224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/>
            </w:pPr>
            <w:r>
              <w:rPr>
                <w:rStyle w:val="Strong"/>
                <w:b/>
                <w:color w:val="1C1C1C"/>
                <w:sz w:val="24"/>
                <w:szCs w:val="24"/>
              </w:rPr>
              <w:t>Unit 2</w:t>
            </w:r>
          </w:p>
        </w:tc>
      </w:tr>
      <w:tr>
        <w:trPr/>
        <w:tc>
          <w:tcPr>
            <w:tcW w:w="2378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b/>
                <w:bCs/>
                <w:color w:val="1C1C1C"/>
                <w:sz w:val="24"/>
                <w:szCs w:val="24"/>
              </w:rPr>
            </w:pPr>
            <w:r>
              <w:rPr>
                <w:b/>
                <w:bCs/>
                <w:color w:val="1C1C1C"/>
                <w:sz w:val="24"/>
                <w:szCs w:val="24"/>
              </w:rPr>
              <w:t>Reactor type</w:t>
            </w:r>
          </w:p>
        </w:tc>
        <w:tc>
          <w:tcPr>
            <w:tcW w:w="2749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Westinghouse 4-loop PWR</w:t>
            </w:r>
          </w:p>
        </w:tc>
        <w:tc>
          <w:tcPr>
            <w:tcW w:w="2247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US EPR (Framatome)</w:t>
            </w:r>
          </w:p>
        </w:tc>
      </w:tr>
      <w:tr>
        <w:trPr/>
        <w:tc>
          <w:tcPr>
            <w:tcW w:w="237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b/>
                <w:bCs/>
                <w:color w:val="1C1C1C"/>
                <w:sz w:val="24"/>
                <w:szCs w:val="24"/>
              </w:rPr>
            </w:pPr>
            <w:r>
              <w:rPr>
                <w:b/>
                <w:bCs/>
                <w:color w:val="1C1C1C"/>
                <w:sz w:val="24"/>
                <w:szCs w:val="24"/>
              </w:rPr>
              <w:t>Commercial operation</w:t>
            </w:r>
          </w:p>
        </w:tc>
        <w:tc>
          <w:tcPr>
            <w:tcW w:w="274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  <w:color w:val="1C1C1C"/>
                <w:sz w:val="24"/>
                <w:szCs w:val="24"/>
              </w:rPr>
              <w:t>November 1999</w:t>
            </w:r>
          </w:p>
        </w:tc>
        <w:tc>
          <w:tcPr>
            <w:tcW w:w="2247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b w:val="false"/>
                <w:bCs w:val="false"/>
                <w:color w:val="1C1C1C"/>
                <w:sz w:val="24"/>
                <w:szCs w:val="24"/>
              </w:rPr>
              <w:t>April 2027</w:t>
            </w:r>
          </w:p>
        </w:tc>
      </w:tr>
      <w:tr>
        <w:trPr/>
        <w:tc>
          <w:tcPr>
            <w:tcW w:w="237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b/>
                <w:bCs/>
                <w:color w:val="1C1C1C"/>
                <w:sz w:val="24"/>
                <w:szCs w:val="24"/>
              </w:rPr>
            </w:pPr>
            <w:r>
              <w:rPr>
                <w:b/>
                <w:bCs/>
                <w:color w:val="1C1C1C"/>
                <w:sz w:val="24"/>
                <w:szCs w:val="24"/>
              </w:rPr>
              <w:t>Licensed thermal power</w:t>
            </w:r>
          </w:p>
        </w:tc>
        <w:tc>
          <w:tcPr>
            <w:tcW w:w="274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3,612 MWt</w:t>
            </w:r>
          </w:p>
        </w:tc>
        <w:tc>
          <w:tcPr>
            <w:tcW w:w="2247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4,590 MWt</w:t>
            </w:r>
          </w:p>
        </w:tc>
      </w:tr>
      <w:tr>
        <w:trPr/>
        <w:tc>
          <w:tcPr>
            <w:tcW w:w="237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b/>
                <w:bCs/>
                <w:color w:val="1C1C1C"/>
                <w:sz w:val="24"/>
                <w:szCs w:val="24"/>
              </w:rPr>
            </w:pPr>
            <w:r>
              <w:rPr>
                <w:b/>
                <w:bCs/>
                <w:color w:val="1C1C1C"/>
                <w:sz w:val="24"/>
                <w:szCs w:val="24"/>
              </w:rPr>
              <w:t>Gross electrical output</w:t>
            </w:r>
          </w:p>
        </w:tc>
        <w:tc>
          <w:tcPr>
            <w:tcW w:w="274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~1,335 MWe</w:t>
            </w:r>
          </w:p>
        </w:tc>
        <w:tc>
          <w:tcPr>
            <w:tcW w:w="2247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~1,710 MWe</w:t>
            </w:r>
          </w:p>
        </w:tc>
      </w:tr>
      <w:tr>
        <w:trPr/>
        <w:tc>
          <w:tcPr>
            <w:tcW w:w="237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b/>
                <w:bCs/>
                <w:color w:val="1C1C1C"/>
                <w:sz w:val="24"/>
                <w:szCs w:val="24"/>
              </w:rPr>
            </w:pPr>
            <w:r>
              <w:rPr>
                <w:b/>
                <w:bCs/>
                <w:color w:val="1C1C1C"/>
                <w:sz w:val="24"/>
                <w:szCs w:val="24"/>
              </w:rPr>
              <w:t>Net electrical output</w:t>
            </w:r>
          </w:p>
        </w:tc>
        <w:tc>
          <w:tcPr>
            <w:tcW w:w="274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~1,270 MWe</w:t>
            </w:r>
          </w:p>
        </w:tc>
        <w:tc>
          <w:tcPr>
            <w:tcW w:w="2247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~1,600 MWe</w:t>
            </w:r>
          </w:p>
        </w:tc>
      </w:tr>
      <w:tr>
        <w:trPr/>
        <w:tc>
          <w:tcPr>
            <w:tcW w:w="237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b/>
                <w:bCs/>
                <w:color w:val="1C1C1C"/>
                <w:sz w:val="24"/>
                <w:szCs w:val="24"/>
              </w:rPr>
            </w:pPr>
            <w:r>
              <w:rPr>
                <w:b/>
                <w:bCs/>
                <w:color w:val="1C1C1C"/>
                <w:sz w:val="24"/>
                <w:szCs w:val="24"/>
              </w:rPr>
              <w:t>NRC docket</w:t>
            </w:r>
          </w:p>
        </w:tc>
        <w:tc>
          <w:tcPr>
            <w:tcW w:w="274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50-547</w:t>
            </w:r>
          </w:p>
        </w:tc>
        <w:tc>
          <w:tcPr>
            <w:tcW w:w="2247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52-046</w:t>
            </w:r>
          </w:p>
        </w:tc>
      </w:tr>
      <w:tr>
        <w:trPr/>
        <w:tc>
          <w:tcPr>
            <w:tcW w:w="237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b/>
                <w:bCs/>
                <w:color w:val="1C1C1C"/>
                <w:sz w:val="24"/>
                <w:szCs w:val="24"/>
              </w:rPr>
            </w:pPr>
            <w:r>
              <w:rPr>
                <w:b/>
                <w:bCs/>
                <w:color w:val="1C1C1C"/>
                <w:sz w:val="24"/>
                <w:szCs w:val="24"/>
              </w:rPr>
              <w:t>NRC license</w:t>
            </w:r>
          </w:p>
        </w:tc>
        <w:tc>
          <w:tcPr>
            <w:tcW w:w="274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NPF-91</w:t>
            </w:r>
          </w:p>
        </w:tc>
        <w:tc>
          <w:tcPr>
            <w:tcW w:w="2247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NPF-98</w:t>
            </w:r>
          </w:p>
        </w:tc>
      </w:tr>
    </w:tbl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Combined net station capacity is approximately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2,870 MWe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, making Phoenix the second-largest nuclear station in the Western Interconnection by nameplate capacity and the largest single source of carbon-free electricity in Desert Horizons Energy's service territory.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ab/>
        <w:t xml:space="preserve">Like the nearby Palo Verde station, Phoenix has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no adjacent natural body of cooling water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and is the only major thermal plant in the region cooled almost entirely by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reclaimed municipal wastewater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.</w:t>
      </w:r>
    </w:p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2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 Lore &amp; History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2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.1 Origins (1973–1985)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Phoenix traces its origins to the energy anxiety of the early 1970s. In 1973, a consortium of Southwestern utilities — then trading under the working name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Salt River Valley Nuclear Project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— optioned a 6,400-acre parcel of federal and state trust land on the Ocotillo Flats, attracted by its geologic stability, remoteness, low population density, and proximity to the fast-growing Phoenix load center.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The original plan called for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three identical Westinghouse 4-loop units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(Units 1, 2, and 3). Ground was broken on Unit 1 in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1978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. As with most American nuclear projects of the era, the schedule collapsed under the combined weight of post-Three Mile Island regulatory revision, interest-rate escalation, and softening load growth. In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1984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, the consortium cancelled Units 2 and 3 outright, writing off roughly $1.1 billion in sunk cost. The half-excavated Unit 2 foundation was backfilled and left fallow — locally nicknamed 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"the grave."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2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.2 The long build and first criticality (1985–1999)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Unit 1 construction limped forward through the late 1980s and early 1990s, repeatedly re-baselined. The reorganized ownership group rebranded the project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Phoenix Nuclear Power Plant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in 1991 — a deliberate double meaning: the desert city of Phoenix, and the mythological bird rising renewed from its own ashes, a nod to a project that had very nearly died.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Unit 1 achieved:</w:t>
      </w:r>
    </w:p>
    <w:p>
      <w:pPr>
        <w:pStyle w:val="Style13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Initial fuel load: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June 1999</w:t>
      </w:r>
    </w:p>
    <w:p>
      <w:pPr>
        <w:pStyle w:val="Style13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Initial criticality: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August 1999</w:t>
      </w:r>
    </w:p>
    <w:p>
      <w:pPr>
        <w:pStyle w:val="Style13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Grid synchronization: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September 1999</w:t>
      </w:r>
    </w:p>
    <w:p>
      <w:pPr>
        <w:pStyle w:val="Style13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Commercial operation: November 1999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At the time, Unit 1 was among the last conventional light-water reactors to enter service in the United States before the two-decade construction hiatus. Desert Horizons Energy Corporation was formed in 1996 out of the consortium's operating arm to hold the NRC operating license and run the plant.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2.3 Rebirth as an EPR (2008–2027)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Interest in a second unit revived during the late-2000s "nuclear renaissance," accelerated by Arizona's rising desert-driven summer load, data-center demand, and state decarbonization targets. Rather than resurrect the cancelled Westinghouse design, DHE and its partners pursued a modern Generation III+ reactor.</w:t>
      </w:r>
    </w:p>
    <w:p>
      <w:pPr>
        <w:pStyle w:val="Style13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2008: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DHE files a Combined License (COL) application with the NRC for a single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US EPR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on the preserved Unit 2 footprint.</w:t>
      </w:r>
    </w:p>
    <w:p>
      <w:pPr>
        <w:pStyle w:val="Style13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2014: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NRC issues Combined License NPF-98 (Docket 52-046).</w:t>
      </w:r>
    </w:p>
    <w:p>
      <w:pPr>
        <w:pStyle w:val="Style13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2016: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First nuclear concrete poured on the rehabilitated Unit 2 basemat — literally atop </w:t>
      </w: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"the grave"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excavated four decades earlier.</w:t>
      </w:r>
    </w:p>
    <w:p>
      <w:pPr>
        <w:pStyle w:val="Style13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2019–2024: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Extended construction, including the characteristic EPR schedule pressures (large-forging logistics, I&amp;C qualification, and first-of-a-kind-in-the-Americas commissioning).</w:t>
      </w:r>
    </w:p>
    <w:p>
      <w:pPr>
        <w:pStyle w:val="Style13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December 2026: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Initial fuel load.</w:t>
      </w:r>
    </w:p>
    <w:p>
      <w:pPr>
        <w:pStyle w:val="Style13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February 2027: 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First criticality.</w:t>
      </w:r>
    </w:p>
    <w:p>
      <w:pPr>
        <w:pStyle w:val="Style13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April 2027: Commercial operation declared.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Unit 2 is the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first EPR to operate in the Western Hemisphere's Americas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and gave the "phoenix" branding a second, literal meaning: a reactor rising from a foundation abandoned in 1984.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2.4 Timeline summary</w:t>
      </w:r>
    </w:p>
    <w:tbl>
      <w:tblPr>
        <w:tblW w:w="5653" w:type="dxa"/>
        <w:jc w:val="left"/>
        <w:tblInd w:w="0" w:type="dxa"/>
        <w:tblLayout w:type="fixed"/>
        <w:tblCellMar>
          <w:top w:w="0" w:type="dxa"/>
          <w:left w:w="0" w:type="dxa"/>
          <w:bottom w:w="50" w:type="dxa"/>
          <w:right w:w="0" w:type="dxa"/>
        </w:tblCellMar>
      </w:tblPr>
      <w:tblGrid>
        <w:gridCol w:w="586"/>
        <w:gridCol w:w="5066"/>
      </w:tblGrid>
      <w:tr>
        <w:trPr>
          <w:tblHeader w:val="true"/>
        </w:trPr>
        <w:tc>
          <w:tcPr>
            <w:tcW w:w="58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Year</w:t>
            </w:r>
          </w:p>
        </w:tc>
        <w:tc>
          <w:tcPr>
            <w:tcW w:w="50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Milestone</w:t>
            </w:r>
          </w:p>
        </w:tc>
      </w:tr>
      <w:tr>
        <w:trPr/>
        <w:tc>
          <w:tcPr>
            <w:tcW w:w="586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1973</w:t>
            </w:r>
          </w:p>
        </w:tc>
        <w:tc>
          <w:tcPr>
            <w:tcW w:w="5066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Site optioned; three-unit project announced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1978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 1 groundbreaking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1984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Units 2 &amp; 3 cancelled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1991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Project renamed "Phoenix Nuclear Power Plant"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1996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Desert Horizons Energy Corporation formed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1999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 1 commercial operation (November)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2008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 2 (EPR) COL application filed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2014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 2 Combined License issued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2016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 2 first concrete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2017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 1 steam generator replacement + power uprate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2019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 1 license renewal (to 2059)</w:t>
            </w:r>
          </w:p>
        </w:tc>
      </w:tr>
      <w:tr>
        <w:trPr/>
        <w:tc>
          <w:tcPr>
            <w:tcW w:w="58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2027</w:t>
            </w:r>
          </w:p>
        </w:tc>
        <w:tc>
          <w:tcPr>
            <w:tcW w:w="506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Unit 2 commercial operation (April)</w:t>
            </w:r>
          </w:p>
        </w:tc>
      </w:tr>
    </w:tbl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3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 Ownership &amp; Governance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Phoenix is jointly owned by seven regional entities and operated by DHE under a joint participation agreement. Ownership shares are identical across both units.</w:t>
      </w:r>
    </w:p>
    <w:tbl>
      <w:tblPr>
        <w:tblW w:w="9356" w:type="dxa"/>
        <w:jc w:val="left"/>
        <w:tblInd w:w="0" w:type="dxa"/>
        <w:tblLayout w:type="fixed"/>
        <w:tblCellMar>
          <w:top w:w="0" w:type="dxa"/>
          <w:left w:w="0" w:type="dxa"/>
          <w:bottom w:w="50" w:type="dxa"/>
          <w:right w:w="0" w:type="dxa"/>
        </w:tblCellMar>
      </w:tblPr>
      <w:tblGrid>
        <w:gridCol w:w="4931"/>
        <w:gridCol w:w="3679"/>
        <w:gridCol w:w="746"/>
      </w:tblGrid>
      <w:tr>
        <w:trPr>
          <w:tblHeader w:val="true"/>
        </w:trPr>
        <w:tc>
          <w:tcPr>
            <w:tcW w:w="493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Participant</w:t>
            </w:r>
          </w:p>
        </w:tc>
        <w:tc>
          <w:tcPr>
            <w:tcW w:w="367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Type</w:t>
            </w:r>
          </w:p>
        </w:tc>
        <w:tc>
          <w:tcPr>
            <w:tcW w:w="7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Share</w:t>
            </w:r>
          </w:p>
        </w:tc>
      </w:tr>
      <w:tr>
        <w:trPr/>
        <w:tc>
          <w:tcPr>
            <w:tcW w:w="4931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color w:val="1C1C1C"/>
                <w:sz w:val="24"/>
                <w:szCs w:val="24"/>
              </w:rPr>
              <w:t>Desert Horizons Energy Corporation</w:t>
            </w:r>
            <w:r>
              <w:rPr>
                <w:color w:val="1C1C1C"/>
                <w:sz w:val="24"/>
                <w:szCs w:val="24"/>
              </w:rPr>
              <w:t xml:space="preserve"> (operator)</w:t>
            </w:r>
          </w:p>
        </w:tc>
        <w:tc>
          <w:tcPr>
            <w:tcW w:w="3679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Investor-owned utility (AZ)</w:t>
            </w:r>
          </w:p>
        </w:tc>
        <w:tc>
          <w:tcPr>
            <w:tcW w:w="746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29.1%</w:t>
            </w:r>
          </w:p>
        </w:tc>
      </w:tr>
      <w:tr>
        <w:trPr/>
        <w:tc>
          <w:tcPr>
            <w:tcW w:w="493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Grand Canyon Power &amp; Water District</w:t>
            </w:r>
          </w:p>
        </w:tc>
        <w:tc>
          <w:tcPr>
            <w:tcW w:w="367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Public power (AZ)</w:t>
            </w:r>
          </w:p>
        </w:tc>
        <w:tc>
          <w:tcPr>
            <w:tcW w:w="74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17.5%</w:t>
            </w:r>
          </w:p>
        </w:tc>
      </w:tr>
      <w:tr>
        <w:trPr/>
        <w:tc>
          <w:tcPr>
            <w:tcW w:w="493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Copperline Electric Company</w:t>
            </w:r>
          </w:p>
        </w:tc>
        <w:tc>
          <w:tcPr>
            <w:tcW w:w="367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Investor-owned utility (S. AZ)</w:t>
            </w:r>
          </w:p>
        </w:tc>
        <w:tc>
          <w:tcPr>
            <w:tcW w:w="74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15.8%</w:t>
            </w:r>
          </w:p>
        </w:tc>
      </w:tr>
      <w:tr>
        <w:trPr/>
        <w:tc>
          <w:tcPr>
            <w:tcW w:w="493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Pacifica Edison</w:t>
            </w:r>
          </w:p>
        </w:tc>
        <w:tc>
          <w:tcPr>
            <w:tcW w:w="367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Investor-owned utility (S. California)</w:t>
            </w:r>
          </w:p>
        </w:tc>
        <w:tc>
          <w:tcPr>
            <w:tcW w:w="74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15.0%</w:t>
            </w:r>
          </w:p>
        </w:tc>
      </w:tr>
      <w:tr>
        <w:trPr/>
        <w:tc>
          <w:tcPr>
            <w:tcW w:w="493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Rio Bravo Electric Cooperative</w:t>
            </w:r>
          </w:p>
        </w:tc>
        <w:tc>
          <w:tcPr>
            <w:tcW w:w="367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Cooperative (New Mexico)</w:t>
            </w:r>
          </w:p>
        </w:tc>
        <w:tc>
          <w:tcPr>
            <w:tcW w:w="74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10.2%</w:t>
            </w:r>
          </w:p>
        </w:tc>
      </w:tr>
      <w:tr>
        <w:trPr/>
        <w:tc>
          <w:tcPr>
            <w:tcW w:w="493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Coastal Municipal Power Alliance</w:t>
            </w:r>
          </w:p>
        </w:tc>
        <w:tc>
          <w:tcPr>
            <w:tcW w:w="367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Municipal joint agency (CA)</w:t>
            </w:r>
          </w:p>
        </w:tc>
        <w:tc>
          <w:tcPr>
            <w:tcW w:w="74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8.4%</w:t>
            </w:r>
          </w:p>
        </w:tc>
      </w:tr>
      <w:tr>
        <w:trPr/>
        <w:tc>
          <w:tcPr>
            <w:tcW w:w="493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Los Alamitos Water &amp; Power</w:t>
            </w:r>
          </w:p>
        </w:tc>
        <w:tc>
          <w:tcPr>
            <w:tcW w:w="367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Municipal utility (CA)</w:t>
            </w:r>
          </w:p>
        </w:tc>
        <w:tc>
          <w:tcPr>
            <w:tcW w:w="746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  <w:sz w:val="24"/>
                <w:szCs w:val="24"/>
              </w:rPr>
            </w:pPr>
            <w:r>
              <w:rPr>
                <w:color w:val="1C1C1C"/>
                <w:sz w:val="24"/>
                <w:szCs w:val="24"/>
              </w:rPr>
              <w:t>4.0%</w:t>
            </w:r>
          </w:p>
        </w:tc>
      </w:tr>
    </w:tbl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  <w:lang w:val="en-US"/>
        </w:rPr>
        <w:br/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Regulatory oversight: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U.S. Nuclear Regulatory Commission (NRC) — Region IV, Arlington, Texas. Economic regulation of DHE's retail rates falls to the Arizona Corporation Commission.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Operating organization: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DHE Nuclear (a business unit of DHE), led by a Chief Nuclear Officer reporting to the DHE board's Nuclear Committee. The station is run day-to-day by a Site Vice President with separate Plant Managers for each unit sharing common services.</w:t>
      </w:r>
    </w:p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4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 Site Description</w:t>
      </w:r>
    </w:p>
    <w:p>
      <w:pPr>
        <w:pStyle w:val="Style13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Location: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Ocotillo Flats, southwestern Maricopa County, ~55 mi SW of Phoenix; ~28 mi from the nearest incorporated town.</w:t>
      </w:r>
    </w:p>
    <w:p>
      <w:pPr>
        <w:pStyle w:val="Style13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Total site: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~6,400 acres owned; ~3,300-acre exclusion area; low-population surroundings (federal desert land and state trust rangeland).</w:t>
      </w:r>
    </w:p>
    <w:p>
      <w:pPr>
        <w:pStyle w:val="Style13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Elevation: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~1,050 ft (320 m).</w:t>
      </w:r>
    </w:p>
    <w:p>
      <w:pPr>
        <w:pStyle w:val="Style13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Terrain/geology: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Flat alluvial basin over stable Basin-and-Range sediments; nearest capable fault studied and screened during licensing. Design basis accommodates regional seismicity; Unit 2 (EPR) is designed to a hardened seismic envelope with aircraft-impact-resistant structures.</w:t>
      </w:r>
    </w:p>
    <w:p>
      <w:pPr>
        <w:pStyle w:val="Style13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Climate driver: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Extreme summer heat (routinely &gt;45 °C/113 °F) is the dominant environmental design factor — it depresses condenser efficiency and drives ultimate heat sink and switchyard equipment ratings.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The absence of a river, lake, or coastline is the defining site constraint and dictates the water strategy in Section 7.</w:t>
      </w:r>
    </w:p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5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 Unit 1 — Westinghouse 4-Loop PWR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5.1 Nuclear steam supply system (NSSS)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Reactor type: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Westinghouse four-loop pressurized water reactor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NSSS vendor: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Westinghouse Electric Corporation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Licensed core thermal power: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3,612 MWt (original 3,411 MWt; uplifted via measurement-uncertainty recapture + stretch uprate, 2017)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Reactor coolant loops: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Reactor coolant pumps: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 × Westinghouse Model 93A (single-stage, vertical, shaft-seal)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Steam generators: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 ×</w:t>
      </w:r>
    </w:p>
    <w:p>
      <w:pPr>
        <w:pStyle w:val="Style13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Original: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Westinghouse Model F (Alloy 600 tubing)</w:t>
      </w:r>
    </w:p>
    <w:p>
      <w:pPr>
        <w:pStyle w:val="Style13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Replacement (2017):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Framatome replacement steam generators with thermally treated Alloy 690TT tubing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Pressurizer: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Westinghouse; normal RCS pressure ~2,250 psia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Reactor vessel: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Low-alloy steel with stainless cladding; forged and fabricated by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Combustion Engineering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(Chattanooga)</w:t>
      </w:r>
    </w:p>
    <w:p>
      <w:pPr>
        <w:pStyle w:val="Style13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Control: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53 rod cluster control assemblies; soluble boron chemical shim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5.2 Core &amp; fuel</w:t>
      </w:r>
    </w:p>
    <w:p>
      <w:pPr>
        <w:pStyle w:val="Style13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Fuel assemblies: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193, 17×17 lattice</w:t>
      </w:r>
    </w:p>
    <w:p>
      <w:pPr>
        <w:pStyle w:val="Style13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Fuel: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UO₂ pellets, enrichment ≤ 4.95 % U-235</w:t>
      </w:r>
    </w:p>
    <w:p>
      <w:pPr>
        <w:pStyle w:val="Style13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Fuel vendor: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Westinghouse (primary); qualified second source, Framatome, since 2013</w:t>
      </w:r>
    </w:p>
    <w:p>
      <w:pPr>
        <w:pStyle w:val="Style13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Fuel cycle: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18-month</w:t>
      </w:r>
    </w:p>
    <w:p>
      <w:pPr>
        <w:pStyle w:val="Style13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Cladding: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Advanced zirconium alloy (ZIRLO / Optimized ZIRLO)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5.3 Containment</w:t>
      </w:r>
    </w:p>
    <w:p>
      <w:pPr>
        <w:pStyle w:val="Style13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Type: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Large dry containment — post-tensioned, prestressed reinforced concrete cylinder with hemispherical dome and a welded steel liner</w:t>
      </w:r>
    </w:p>
    <w:p>
      <w:pPr>
        <w:pStyle w:val="Style13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Design pressure: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~60 psig</w:t>
      </w:r>
    </w:p>
    <w:p>
      <w:pPr>
        <w:pStyle w:val="Style13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Engineered safeguards: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Two-train emergency core cooling (high- and low-pressure injection, accumulators), containment spray, quench-tank / RWST inventory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5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.4 Turbine island &amp; electrical</w:t>
      </w:r>
    </w:p>
    <w:p>
      <w:pPr>
        <w:pStyle w:val="Style13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Turbine-generator: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General Electric (GE) tandem-compound, six-flow, 1,800 rpm (four-pole, 60 Hz)</w:t>
      </w:r>
    </w:p>
    <w:p>
      <w:pPr>
        <w:pStyle w:val="Style13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Uprate note: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Low-pressure turbine rotors and last-stage buckets replaced with an efficiency retrofit by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Mitsubishi Heavy Industries (MHI)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during the 2017 outage.</w:t>
      </w:r>
    </w:p>
    <w:p>
      <w:pPr>
        <w:pStyle w:val="Style13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Main generator: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Hydrogen-inner-cooled, ~1,500 MVA, 24 kV</w:t>
      </w:r>
    </w:p>
    <w:p>
      <w:pPr>
        <w:pStyle w:val="Style13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Main condenser: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Titanium-tubed, single-pressure (selected for reclaimed-water chemistry)</w:t>
      </w:r>
    </w:p>
    <w:p>
      <w:pPr>
        <w:pStyle w:val="Style13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Main transformers: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three single-phase GSU banks stepping 24 kV → 525 kV</w:t>
      </w:r>
    </w:p>
    <w:p>
      <w:pPr>
        <w:pStyle w:val="Style13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Emergency diesel generators: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2 × Fairbanks Morse Colt-Pielstick PC2.5 (Class 1E, ~5.5 MWe each), plus one shared spare-parts pool with Unit 2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5.5 Instrumentation &amp; control</w:t>
      </w:r>
    </w:p>
    <w:p>
      <w:pPr>
        <w:pStyle w:val="Style13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As-built (1999):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Analog protection with Westinghouse Eagle-21 process protection racks</w:t>
      </w:r>
    </w:p>
    <w:p>
      <w:pPr>
        <w:pStyle w:val="Style13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Digital upgrades:</w:t>
      </w:r>
    </w:p>
    <w:p>
      <w:pPr>
        <w:pStyle w:val="Style13"/>
        <w:widowControl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Reactor protection &amp; engineered safety features actuation migrated to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Westinghouse Common Q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(Class 1E)</w:t>
      </w:r>
    </w:p>
    <w:p>
      <w:pPr>
        <w:pStyle w:val="Style13"/>
        <w:widowControl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Non-safety plant control and turbine control migrated to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Emerson Ovation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distributed control system</w:t>
      </w:r>
    </w:p>
    <w:p>
      <w:pPr>
        <w:pStyle w:val="Style13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Main control room: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Hybrid analog/digital following upgrades; dedicated remote shutdown panel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5.6 Licensing</w:t>
      </w:r>
    </w:p>
    <w:p>
      <w:pPr>
        <w:pStyle w:val="Style13"/>
        <w:widowControl/>
        <w:numPr>
          <w:ilvl w:val="0"/>
          <w:numId w:val="1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NRC operating license: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NPF-91 (Part 50), Docket 50-547</w:t>
      </w:r>
    </w:p>
    <w:p>
      <w:pPr>
        <w:pStyle w:val="Style13"/>
        <w:widowControl/>
        <w:numPr>
          <w:ilvl w:val="0"/>
          <w:numId w:val="1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Original term: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40 years (issued 1999, to 2039)</w:t>
      </w:r>
    </w:p>
    <w:p>
      <w:pPr>
        <w:pStyle w:val="Style13"/>
        <w:widowControl/>
        <w:numPr>
          <w:ilvl w:val="0"/>
          <w:numId w:val="1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License renewal: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Approved 2019, extended 20 years to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2059</w:t>
      </w:r>
    </w:p>
    <w:p>
      <w:pPr>
        <w:pStyle w:val="Style13"/>
        <w:widowControl/>
        <w:numPr>
          <w:ilvl w:val="0"/>
          <w:numId w:val="1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Subsequent renewal: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Feasibility study underway (potential extension to 2079)</w:t>
      </w:r>
    </w:p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6. Unit 2 — US EPR (Framatome)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6.1 Nuclear steam supply system</w:t>
      </w:r>
    </w:p>
    <w:p>
      <w:pPr>
        <w:pStyle w:val="Style13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Reactor type: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US EPR — Generation III+ four-loop PWR</w:t>
      </w:r>
    </w:p>
    <w:p>
      <w:pPr>
        <w:pStyle w:val="Style13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NSSS / reactor vendor: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Framatome (formerly AREVA NP)</w:t>
      </w:r>
    </w:p>
    <w:p>
      <w:pPr>
        <w:pStyle w:val="Style13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Licensed core thermal power: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4,590 MWt</w:t>
      </w:r>
    </w:p>
    <w:p>
      <w:pPr>
        <w:pStyle w:val="Style13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Reactor coolant loops: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</w:t>
      </w:r>
    </w:p>
    <w:p>
      <w:pPr>
        <w:pStyle w:val="Style13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Reactor coolant pumps: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 × Framatome (vertical single-stage, high-inertia flywheel for extended coastdown)</w:t>
      </w:r>
    </w:p>
    <w:p>
      <w:pPr>
        <w:pStyle w:val="Style13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Steam generators: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 × Framatome axial-economizer design, Alloy 690TT tubing</w:t>
      </w:r>
    </w:p>
    <w:p>
      <w:pPr>
        <w:pStyle w:val="Style13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Pressurizer: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Framatome — notably large volume (~75 m³) for load-transient tolerance</w:t>
      </w:r>
    </w:p>
    <w:p>
      <w:pPr>
        <w:pStyle w:val="Style13"/>
        <w:widowControl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Reactor pressure vessel: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Heavy forgings supplied by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Japan Steel Works (JSW)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; vessel assembled and qualified by Framatome. Designed for a 60-year service life with generous fluence margins.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6.2 Core &amp; fuel</w:t>
      </w:r>
    </w:p>
    <w:p>
      <w:pPr>
        <w:pStyle w:val="Style13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Fuel assemblies: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241, 17×17 lattice</w:t>
      </w:r>
    </w:p>
    <w:p>
      <w:pPr>
        <w:pStyle w:val="Style13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Fuel: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UO₂, enrichment ≤ 5 % U-235; design also qualified for MOX capability</w:t>
      </w:r>
    </w:p>
    <w:p>
      <w:pPr>
        <w:pStyle w:val="Style13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Fuel vendor: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Framatome</w:t>
      </w:r>
    </w:p>
    <w:p>
      <w:pPr>
        <w:pStyle w:val="Style13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Fuel cycle: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18–24 month capability</w:t>
      </w:r>
    </w:p>
    <w:p>
      <w:pPr>
        <w:pStyle w:val="Style13"/>
        <w:widowControl/>
        <w:numPr>
          <w:ilvl w:val="0"/>
          <w:numId w:val="1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Neutron reflector: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Heavy stainless-steel radial reflector — improves neutron economy and reduces vessel fluence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6.3 Safety architecture — the EPR difference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The EPR's signature is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four-train redundancy (N+2)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with strong physical separation:</w:t>
      </w:r>
    </w:p>
    <w:p>
      <w:pPr>
        <w:pStyle w:val="Style13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Four independent safeguard divisions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, each in its own building; two of the four divisions housed in bunkered structures separated across the reactor building for protection against internal and external hazards.</w:t>
      </w:r>
    </w:p>
    <w:p>
      <w:pPr>
        <w:pStyle w:val="Style13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Double-wall containment:</w:t>
      </w:r>
    </w:p>
    <w:p>
      <w:pPr>
        <w:pStyle w:val="Style13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Inner shell: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prestressed concrete with a steel liner (leak-tight boundary)</w:t>
      </w:r>
    </w:p>
    <w:p>
      <w:pPr>
        <w:pStyle w:val="Style13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Outer shell: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thick reinforced concrete providing aircraft-impact and external-event protection; annular space maintained at slight negative pressure and filtered</w:t>
      </w:r>
    </w:p>
    <w:p>
      <w:pPr>
        <w:pStyle w:val="Style13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Core catcher: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dedicated spreading compartment beneath the reactor cavity to retain and cool molten core debris in a severe accident — a defining EPR feature.</w:t>
      </w:r>
    </w:p>
    <w:p>
      <w:pPr>
        <w:pStyle w:val="Style13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Passive autocatalytic recombiners (PARs):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hydrogen control without power.</w:t>
      </w:r>
    </w:p>
    <w:p>
      <w:pPr>
        <w:pStyle w:val="Style13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In-containment refueling water storage tank (IRWST):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large internal water inventory feeding safety injection and containment heat removal.</w:t>
      </w:r>
    </w:p>
    <w:p>
      <w:pPr>
        <w:pStyle w:val="Style13"/>
        <w:widowControl/>
        <w:numPr>
          <w:ilvl w:val="0"/>
          <w:numId w:val="13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Dedicated severe-accident heat removal system.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6.4 Turbine island &amp; electrical</w:t>
      </w:r>
    </w:p>
    <w:p>
      <w:pPr>
        <w:pStyle w:val="Style13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Turbine-generator: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Arabelle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half-speed (1,800 rpm, 60 Hz) saturated-steam turbine — the largest turbine class in commercial nuclear service.</w:t>
      </w:r>
    </w:p>
    <w:p>
      <w:pPr>
        <w:pStyle w:val="Style13"/>
        <w:widowControl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Supply/servicing lineage (realistic):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The Arabelle line originated with Alstom, passed to GE Steam Power, and — following EDF's 2024 acquisition of GE Vernova's steam-nuclear activities — new-build supply now sits with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Arabelle Solutions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(an EDF subsidiary). Because that transaction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excluded servicing in the Americas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, Unit 2's in-service turbine-island maintenance is contracted to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GE Vernova's retained Steam Power services business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. Phoenix thus straddles both sides of the split: French-supplied machine, US-serviced.</w:t>
      </w:r>
    </w:p>
    <w:p>
      <w:pPr>
        <w:pStyle w:val="Style13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Main generator: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~1,800 MVA, hydrogen/water-cooled, 27 kV</w:t>
      </w:r>
    </w:p>
    <w:p>
      <w:pPr>
        <w:pStyle w:val="Style13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Main condenser: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Titanium-tubed, three-shell, matched to reclaimed-water duty</w:t>
      </w:r>
    </w:p>
    <w:p>
      <w:pPr>
        <w:pStyle w:val="Style13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Main transformers: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single-phase GSU bank, 27 kV → 525 kV</w:t>
      </w:r>
    </w:p>
    <w:p>
      <w:pPr>
        <w:pStyle w:val="Style13"/>
        <w:widowControl/>
        <w:numPr>
          <w:ilvl w:val="0"/>
          <w:numId w:val="14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Emergency power:</w:t>
      </w:r>
    </w:p>
    <w:p>
      <w:pPr>
        <w:pStyle w:val="Style13"/>
        <w:widowControl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/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4 × main emergency diesel generators (one per safeguard division), supplied by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Rolls-Royce mtu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(~8 MWe each, Class 1E)</w:t>
      </w:r>
    </w:p>
    <w:p>
      <w:pPr>
        <w:pStyle w:val="Style13"/>
        <w:widowControl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2 × station-blackout ("SBO") diesel generators, diverse and independent, for beyond-design-basis loss of AC power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6.5 Instrumentation &amp; control</w:t>
      </w:r>
    </w:p>
    <w:p>
      <w:pPr>
        <w:pStyle w:val="Style13"/>
        <w:widowControl/>
        <w:numPr>
          <w:ilvl w:val="0"/>
          <w:numId w:val="1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Safety I&amp;C (Protection System):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Framatome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TELEPERM XS (TXS)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— the qualified digital safety platform used across the EPR fleet</w:t>
      </w:r>
    </w:p>
    <w:p>
      <w:pPr>
        <w:pStyle w:val="Style13"/>
        <w:widowControl/>
        <w:numPr>
          <w:ilvl w:val="0"/>
          <w:numId w:val="1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Priority &amp; Actuator Control System (PACS):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hardwired priority logic between safety and non-safety commands</w:t>
      </w:r>
    </w:p>
    <w:p>
      <w:pPr>
        <w:pStyle w:val="Style13"/>
        <w:widowControl/>
        <w:numPr>
          <w:ilvl w:val="0"/>
          <w:numId w:val="1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Process/plant control (non-safety):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distributed control system on the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Siemens SPPA-T3000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platform</w:t>
      </w:r>
    </w:p>
    <w:p>
      <w:pPr>
        <w:pStyle w:val="Style13"/>
        <w:widowControl/>
        <w:numPr>
          <w:ilvl w:val="0"/>
          <w:numId w:val="1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Diverse actuation system: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independent backup for anticipated-transient-without-scram protection</w:t>
      </w:r>
    </w:p>
    <w:p>
      <w:pPr>
        <w:pStyle w:val="Style13"/>
        <w:widowControl/>
        <w:numPr>
          <w:ilvl w:val="0"/>
          <w:numId w:val="15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Main control room: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Fully computerized, screen-based, with a hardwired safety-grade backup panel</w:t>
      </w:r>
    </w:p>
    <w:p>
      <w:pPr>
        <w:pStyle w:val="3"/>
        <w:widowControl/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6.6 Licensing</w:t>
      </w:r>
    </w:p>
    <w:p>
      <w:pPr>
        <w:pStyle w:val="Style13"/>
        <w:widowControl/>
        <w:numPr>
          <w:ilvl w:val="0"/>
          <w:numId w:val="1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NRC Combined License: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NPF-98 (Part 52), Docket 52-046</w:t>
      </w:r>
    </w:p>
    <w:p>
      <w:pPr>
        <w:pStyle w:val="Style13"/>
        <w:widowControl/>
        <w:numPr>
          <w:ilvl w:val="0"/>
          <w:numId w:val="1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COL issued: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2014</w:t>
      </w:r>
    </w:p>
    <w:p>
      <w:pPr>
        <w:pStyle w:val="Style13"/>
        <w:widowControl/>
        <w:numPr>
          <w:ilvl w:val="0"/>
          <w:numId w:val="1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Commercial operation: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April 2027</w:t>
      </w:r>
    </w:p>
    <w:p>
      <w:pPr>
        <w:pStyle w:val="Style13"/>
        <w:widowControl/>
        <w:numPr>
          <w:ilvl w:val="0"/>
          <w:numId w:val="16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License term: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40 years, to ~2066 (renewal-eligible)</w:t>
      </w:r>
    </w:p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7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 Cooling &amp; Water Management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Phoenix's defining engineering challenge is cooling a ~2,900 MWe station in a desert with no river or lake.</w:t>
      </w:r>
    </w:p>
    <w:p>
      <w:pPr>
        <w:pStyle w:val="Style13"/>
        <w:widowControl/>
        <w:numPr>
          <w:ilvl w:val="0"/>
          <w:numId w:val="1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Primary cooling-water source: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Reclaimed municipal wastewater (Class A+ reclaimed effluent)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piped ~35 miles from metro-Phoenix water reclamation facilities under long-term supply agreements.</w:t>
      </w:r>
    </w:p>
    <w:p>
      <w:pPr>
        <w:pStyle w:val="Style13"/>
        <w:widowControl/>
        <w:numPr>
          <w:ilvl w:val="0"/>
          <w:numId w:val="1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On-site polishing: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A dedicated Water Reclamation Facility further treats incoming effluent to protect condenser and cooling-tower chemistry against scaling and biofouling.</w:t>
      </w:r>
    </w:p>
    <w:p>
      <w:pPr>
        <w:pStyle w:val="Style13"/>
        <w:widowControl/>
        <w:numPr>
          <w:ilvl w:val="0"/>
          <w:numId w:val="1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Heat rejection: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Mechanical-draft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cooling towers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— one bank per unit — reject waste heat to the atmosphere by evaporation.</w:t>
      </w:r>
    </w:p>
    <w:p>
      <w:pPr>
        <w:pStyle w:val="Style13"/>
        <w:widowControl/>
        <w:numPr>
          <w:ilvl w:val="0"/>
          <w:numId w:val="1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Backup / makeup: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On-site groundwater wells (permit-limited) provide emergency makeup only.</w:t>
      </w:r>
    </w:p>
    <w:p>
      <w:pPr>
        <w:pStyle w:val="Style13"/>
        <w:widowControl/>
        <w:numPr>
          <w:ilvl w:val="0"/>
          <w:numId w:val="1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Discharge: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Effectively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zero liquid discharge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— cooling-tower blowdown is routed to lined evaporation ponds; no effluent is released to surface waters.</w:t>
      </w:r>
    </w:p>
    <w:p>
      <w:pPr>
        <w:pStyle w:val="Style13"/>
        <w:widowControl/>
        <w:numPr>
          <w:ilvl w:val="0"/>
          <w:numId w:val="17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Ultimate heat sink (safety):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Separate, seismically qualified essential spray-pond / cooling-tower systems dedicated to each unit's safety loads, independent of the circulating-water system.</w:t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Reclaimed water reuse makes Phoenix one of the most water-efficient large thermal stations in North America on a per-MWh basis, and a frequent reference case for arid-region power siting.</w:t>
      </w:r>
    </w:p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8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 Switchyard &amp; Grid Interconnection</w:t>
      </w:r>
    </w:p>
    <w:p>
      <w:pPr>
        <w:pStyle w:val="Style13"/>
        <w:widowControl/>
        <w:numPr>
          <w:ilvl w:val="0"/>
          <w:numId w:val="1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Interconnection: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WECC —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Western Interconnection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; the plant ties into the heavily traded regional transmission corridor near the Palo Verde/Hassayampa hub area.</w:t>
      </w:r>
    </w:p>
    <w:p>
      <w:pPr>
        <w:pStyle w:val="Style13"/>
        <w:widowControl/>
        <w:numPr>
          <w:ilvl w:val="0"/>
          <w:numId w:val="1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Switchyard voltages: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525 kV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(bulk export) and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230 kV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(regional / start-up power).</w:t>
      </w:r>
    </w:p>
    <w:p>
      <w:pPr>
        <w:pStyle w:val="Style13"/>
        <w:widowControl/>
        <w:numPr>
          <w:ilvl w:val="0"/>
          <w:numId w:val="1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Configuration: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Breaker-and-a-half 525 kV yard for high reliability; multiple independent offsite-power feeds satisfy NRC station-blackout and offsite-power requirements.</w:t>
      </w:r>
    </w:p>
    <w:p>
      <w:pPr>
        <w:pStyle w:val="Style13"/>
        <w:widowControl/>
        <w:numPr>
          <w:ilvl w:val="0"/>
          <w:numId w:val="1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Outgoing lines: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525 kV circuits toward the Phoenix metro load center and westward toward the California interties; 230 kV lines serve regional distribution and provide diverse startup sources.</w:t>
      </w:r>
    </w:p>
    <w:p>
      <w:pPr>
        <w:pStyle w:val="Style13"/>
        <w:widowControl/>
        <w:numPr>
          <w:ilvl w:val="0"/>
          <w:numId w:val="18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Black-start / offsite reliability: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Two physically independent offsite power sources per unit, plus the on-site EDGs and (Unit 2) SBO diesels.</w:t>
      </w:r>
    </w:p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9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. Spent Fuel &amp; Radioactive Waste</w:t>
      </w:r>
    </w:p>
    <w:p>
      <w:pPr>
        <w:pStyle w:val="Style13"/>
        <w:widowControl/>
        <w:numPr>
          <w:ilvl w:val="0"/>
          <w:numId w:val="19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Spent fuel pools: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Each unit has a dedicated, seismically qualified spent-fuel pool with high-density racks and safety-grade cooling.</w:t>
      </w:r>
    </w:p>
    <w:p>
      <w:pPr>
        <w:pStyle w:val="Style13"/>
        <w:widowControl/>
        <w:numPr>
          <w:ilvl w:val="0"/>
          <w:numId w:val="19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Dry storage (ISFSI):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A shared on-site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Independent Spent Fuel Storage Installation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using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Holtec HI-STORM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vertical dry-cask systems; loaded casks are transferred to the licensed concrete pad as pool capacity is managed.</w:t>
      </w:r>
    </w:p>
    <w:p>
      <w:pPr>
        <w:pStyle w:val="Style13"/>
        <w:widowControl/>
        <w:numPr>
          <w:ilvl w:val="0"/>
          <w:numId w:val="19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Low-level radioactive waste: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Processed, volume-reduced, and shipped to a licensed off-site disposal facility.</w:t>
      </w:r>
    </w:p>
    <w:p>
      <w:pPr>
        <w:pStyle w:val="Style13"/>
        <w:widowControl/>
        <w:numPr>
          <w:ilvl w:val="0"/>
          <w:numId w:val="19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High-level waste policy: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Consistent with the national spent-fuel situation, no federal repository is available; spent fuel is stored on-site indefinitely under NRC license, with the ISFSI sized for the operating life of both units.</w:t>
      </w:r>
    </w:p>
    <w:p>
      <w:pPr>
        <w:pStyle w:val="Style18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1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0. Operations &amp; Workforce</w:t>
      </w:r>
    </w:p>
    <w:p>
      <w:pPr>
        <w:pStyle w:val="Style13"/>
        <w:widowControl/>
        <w:numPr>
          <w:ilvl w:val="0"/>
          <w:numId w:val="2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Staffing: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~2,700 permanent DHE Nuclear employees across both units and shared services.</w:t>
      </w:r>
    </w:p>
    <w:p>
      <w:pPr>
        <w:pStyle w:val="Style13"/>
        <w:widowControl/>
        <w:numPr>
          <w:ilvl w:val="0"/>
          <w:numId w:val="2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Outage surge: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Refueling outages add up to ~1,800 temporary craft and specialist contractors on site.</w:t>
      </w:r>
    </w:p>
    <w:p>
      <w:pPr>
        <w:pStyle w:val="Style13"/>
        <w:widowControl/>
        <w:numPr>
          <w:ilvl w:val="0"/>
          <w:numId w:val="2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Refueling: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Units are refueled on staggered ~18-month cycles so both are rarely offline together; outages are scheduled for spring and fall to avoid peak summer demand.</w:t>
      </w:r>
    </w:p>
    <w:p>
      <w:pPr>
        <w:pStyle w:val="Style13"/>
        <w:widowControl/>
        <w:numPr>
          <w:ilvl w:val="0"/>
          <w:numId w:val="2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Capacity factor: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Unit 1 has sustained a lifetime capacity factor above 90%. Unit 2 is in its initial fuel cycle, ramping through first-cycle monitoring and warranty testing as of mid-2027.</w:t>
      </w:r>
    </w:p>
    <w:p>
      <w:pPr>
        <w:pStyle w:val="Style13"/>
        <w:widowControl/>
        <w:numPr>
          <w:ilvl w:val="0"/>
          <w:numId w:val="2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Industry oversight: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Member of the Institute of Nuclear Power Operations (INPO); participates in WANO peer reviews.</w:t>
      </w:r>
    </w:p>
    <w:p>
      <w:pPr>
        <w:pStyle w:val="Style13"/>
        <w:widowControl/>
        <w:numPr>
          <w:ilvl w:val="0"/>
          <w:numId w:val="20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Training: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On-site licensed-operator training center with full-scope control-room simulators for </w:t>
      </w: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both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the Unit 1 (Westinghouse) and Unit 2 (EPR) designs — the dual-simulator arrangement is unusual and necessary given the two very different control philosophies.</w:t>
      </w:r>
    </w:p>
    <w:p>
      <w:pPr>
        <w:pStyle w:val="Style18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1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1. Emergency Preparedness &amp; Community</w:t>
      </w:r>
    </w:p>
    <w:p>
      <w:pPr>
        <w:pStyle w:val="Style13"/>
        <w:widowControl/>
        <w:numPr>
          <w:ilvl w:val="0"/>
          <w:numId w:val="2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Emergency planning zones: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10-mile plume-exposure EPZ and 50-mile ingestion-pathway EPZ, coordinated with Maricopa County and Arizona state emergency management.</w:t>
      </w:r>
    </w:p>
    <w:p>
      <w:pPr>
        <w:pStyle w:val="Style13"/>
        <w:widowControl/>
        <w:numPr>
          <w:ilvl w:val="0"/>
          <w:numId w:val="2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Population advantage: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The remote desert siting means the plume EPZ contains a very small resident population — a significant safety and licensing advantage.</w:t>
      </w:r>
    </w:p>
    <w:p>
      <w:pPr>
        <w:pStyle w:val="Style13"/>
        <w:widowControl/>
        <w:numPr>
          <w:ilvl w:val="0"/>
          <w:numId w:val="21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Economic footprint: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PNPP is among the largest employers and taxpayers in southwestern Maricopa County; DHE funds regional STEM education, first-responder training, and desert habitat conservation offsets around the site.</w:t>
      </w:r>
    </w:p>
    <w:p>
      <w:pPr>
        <w:pStyle w:val="Style18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1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</w:rPr>
        <w:t>2. Vendor Summary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50" w:type="dxa"/>
          <w:right w:w="0" w:type="dxa"/>
        </w:tblCellMar>
      </w:tblPr>
      <w:tblGrid>
        <w:gridCol w:w="2299"/>
        <w:gridCol w:w="2891"/>
        <w:gridCol w:w="4448"/>
      </w:tblGrid>
      <w:tr>
        <w:trPr>
          <w:tblHeader w:val="true"/>
        </w:trPr>
        <w:tc>
          <w:tcPr>
            <w:tcW w:w="22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System</w:t>
            </w:r>
          </w:p>
        </w:tc>
        <w:tc>
          <w:tcPr>
            <w:tcW w:w="289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Unit 1 (PWR)</w:t>
            </w:r>
          </w:p>
        </w:tc>
        <w:tc>
          <w:tcPr>
            <w:tcW w:w="444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20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Unit 2 (US EPR)</w:t>
            </w:r>
          </w:p>
        </w:tc>
      </w:tr>
      <w:tr>
        <w:trPr/>
        <w:tc>
          <w:tcPr>
            <w:tcW w:w="2299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Reactor / NSSS</w:t>
            </w:r>
          </w:p>
        </w:tc>
        <w:tc>
          <w:tcPr>
            <w:tcW w:w="2891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Westinghouse</w:t>
            </w:r>
          </w:p>
        </w:tc>
        <w:tc>
          <w:tcPr>
            <w:tcW w:w="4448" w:type="dxa"/>
            <w:tcBorders/>
            <w:tcMar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Framatome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Reactor vessel forgings/fab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Combustion Engineering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Japan Steel Works (fab: Framatome)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Steam generators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Westinghouse (orig.) → Framatome (2017)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Framatome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Reactor coolant pumps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Westinghouse Model 93A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Framatome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Fuel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Westinghouse (2nd source Framatome)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Framatome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Turbine-generator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GE (LP retrofit: MHI)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Arabelle (supply: Arabelle Solutions/EDF; Americas service: GE Vernova)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Safety I&amp;C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Westinghouse Common Q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Framatome TELEPERM XS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Control DCS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Emerson Ovation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Siemens SPPA-T3000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Emergency diesels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Fairbanks Morse Colt-Pielstick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Rolls-Royce mtu (+ SBO diesels)</w:t>
            </w:r>
          </w:p>
        </w:tc>
      </w:tr>
      <w:tr>
        <w:trPr/>
        <w:tc>
          <w:tcPr>
            <w:tcW w:w="2299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Dry-cask storage</w:t>
            </w:r>
          </w:p>
        </w:tc>
        <w:tc>
          <w:tcPr>
            <w:tcW w:w="2891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Holtec HI-STORM (shared ISFSI)</w:t>
            </w:r>
          </w:p>
        </w:tc>
        <w:tc>
          <w:tcPr>
            <w:tcW w:w="4448" w:type="dxa"/>
            <w:tcBorders>
              <w:top w:val="single" w:sz="2" w:space="0" w:color="FFFFFF"/>
            </w:tcBorders>
            <w:tcMar>
              <w:top w:w="50" w:type="dxa"/>
              <w:bottom w:w="0" w:type="dxa"/>
            </w:tcMar>
            <w:vAlign w:val="center"/>
          </w:tcPr>
          <w:p>
            <w:pPr>
              <w:pStyle w:val="Style19"/>
              <w:widowControl w:val="false"/>
              <w:bidi w:val="0"/>
              <w:jc w:val="left"/>
              <w:rPr>
                <w:color w:val="1C1C1C"/>
              </w:rPr>
            </w:pPr>
            <w:r>
              <w:rPr>
                <w:color w:val="1C1C1C"/>
              </w:rPr>
              <w:t>Holtec HI-STORM (shared ISFSI)</w:t>
            </w:r>
          </w:p>
        </w:tc>
      </w:tr>
    </w:tbl>
    <w:p>
      <w:pPr>
        <w:pStyle w:val="Style18"/>
        <w:bidi w:val="0"/>
        <w:jc w:val="left"/>
        <w:rPr>
          <w:color w:val="1C1C1C"/>
        </w:rPr>
      </w:pPr>
      <w:r>
        <w:rPr>
          <w:color w:val="1C1C1C"/>
        </w:rPr>
      </w:r>
    </w:p>
    <w:p>
      <w:pPr>
        <w:pStyle w:val="2"/>
        <w:widowControl/>
        <w:pBdr>
          <w:bottom w:val="single" w:sz="2" w:space="1" w:color="FFFFFF"/>
        </w:pBdr>
        <w:bidi w:val="0"/>
        <w:spacing w:lineRule="auto" w:line="300" w:before="240" w:after="160"/>
        <w:ind w:left="0" w:right="0" w:hanging="0"/>
        <w:jc w:val="left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i w:val="false"/>
          <w:caps w:val="false"/>
          <w:smallCaps w:val="false"/>
          <w:color w:val="1C1C1C"/>
          <w:spacing w:val="0"/>
          <w:lang w:val="en-US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1C1C1C"/>
          <w:spacing w:val="0"/>
          <w:lang w:val="en-US"/>
        </w:rPr>
        <w:t>13. Quick Reference Fact Sheet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Name: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Phoenix Nuclear Power Plant (PNPP)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Operator: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Desert Horizons Energy Corporation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Location: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Ocotillo Flats, SW Maricopa County, Arizona (~55 mi SW of Phoenix)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Units: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2 (both PWR)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Unit 1: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Westinghouse 4-loop, 3,612 MWt / ~1,270 MWe net, online Nov 1999, license to 2059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Unit 2: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US EPR, 4,590 MWt / ~1,600 MWe net, online Apr 2027, license to ~2066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Combined net capacity: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~2,870 MWe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Cooling: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Reclaimed municipal wastewater + mechanical-draft cooling towers; zero liquid discharge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Grid: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WECC Western Interconnection; 525 kV / 230 kV switchyard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Regulator: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NRC Region IV</w:t>
      </w:r>
    </w:p>
    <w:p>
      <w:pPr>
        <w:pStyle w:val="Style13"/>
        <w:widowControl/>
        <w:numPr>
          <w:ilvl w:val="0"/>
          <w:numId w:val="22"/>
        </w:numPr>
        <w:tabs>
          <w:tab w:val="left" w:pos="709" w:leader="none"/>
        </w:tabs>
        <w:bidi w:val="0"/>
        <w:spacing w:before="0" w:after="140"/>
        <w:ind w:left="709" w:hanging="0"/>
        <w:jc w:val="left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Notable firsts: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First EPR to operate in the Americas; Unit 2 built atop the foundation of a unit cancelled in 1984</w:t>
      </w:r>
    </w:p>
    <w:p>
      <w:pPr>
        <w:pStyle w:val="Style18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</w:r>
    </w:p>
    <w:p>
      <w:pPr>
        <w:pStyle w:val="Style13"/>
        <w:widowControl/>
        <w:bidi w:val="0"/>
        <w:spacing w:before="0" w:after="160"/>
        <w:ind w:left="0" w:right="0" w:hanging="0"/>
        <w:jc w:val="left"/>
        <w:rPr>
          <w:rStyle w:val="Style10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i w:val="false"/>
          <w:caps w:val="false"/>
          <w:smallCaps w:val="false"/>
          <w:color w:val="1C1C1C"/>
          <w:spacing w:val="0"/>
          <w:sz w:val="24"/>
          <w:szCs w:val="24"/>
        </w:rPr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70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pple-system">
    <w:altName w:val="BlinkMacSystemFont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1">
    <w:name w:val="Heading 1"/>
    <w:basedOn w:val="Style12"/>
    <w:next w:val="Style13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2">
    <w:name w:val="Heading 2"/>
    <w:basedOn w:val="Style12"/>
    <w:next w:val="Style13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2"/>
    <w:next w:val="Style13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4">
    <w:name w:val="Heading 4"/>
    <w:basedOn w:val="Style12"/>
    <w:next w:val="Style13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Style10">
    <w:name w:val="Emphasis"/>
    <w:qFormat/>
    <w:rPr>
      <w:i/>
      <w:iCs/>
    </w:rPr>
  </w:style>
  <w:style w:type="character" w:styleId="Style11">
    <w:name w:val="Маркери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Покажчик"/>
    <w:basedOn w:val="Normal"/>
    <w:qFormat/>
    <w:pPr>
      <w:suppressLineNumbers/>
    </w:pPr>
    <w:rPr>
      <w:rFonts w:cs="Arial"/>
    </w:rPr>
  </w:style>
  <w:style w:type="paragraph" w:styleId="Style17">
    <w:name w:val="Цитати"/>
    <w:basedOn w:val="Normal"/>
    <w:qFormat/>
    <w:pPr>
      <w:spacing w:before="0" w:after="283"/>
      <w:ind w:left="567" w:right="567" w:hanging="0"/>
    </w:pPr>
    <w:rPr/>
  </w:style>
  <w:style w:type="paragraph" w:styleId="Style18">
    <w:name w:val="Горизонтальна лінія"/>
    <w:basedOn w:val="Normal"/>
    <w:next w:val="Style13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Вміст таблиці"/>
    <w:basedOn w:val="Normal"/>
    <w:qFormat/>
    <w:pPr>
      <w:widowControl w:val="false"/>
      <w:suppressLineNumbers/>
    </w:pPr>
    <w:rPr/>
  </w:style>
  <w:style w:type="paragraph" w:styleId="Style20">
    <w:name w:val="Заголовок таблиці"/>
    <w:basedOn w:val="Style19"/>
    <w:qFormat/>
    <w:pPr>
      <w:suppressLineNumbers/>
      <w:jc w:val="center"/>
    </w:pPr>
    <w:rPr>
      <w:b/>
      <w:bCs/>
    </w:rPr>
  </w:style>
  <w:style w:type="paragraph" w:styleId="Style21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2">
    <w:name w:val="Footer"/>
    <w:basedOn w:val="Style21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LibreOffice/7.5.2.2$Windows_X86_64 LibreOffice_project/53bb9681a964705cf672590721dbc85eb4d0c3a2</Application>
  <AppVersion>15.0000</AppVersion>
  <Pages>13</Pages>
  <Words>2974</Words>
  <Characters>17725</Characters>
  <CharactersWithSpaces>20314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2026-08-04T09:59:19Z</dcterms:created>
  <dc:creator/>
  <dc:description/>
  <dc:language>uk-UA</dc:language>
  <cp:lastModifiedBy/>
  <dcterms:modified xsi:type="dcterms:W3CDTF">2026-08-04T13:01:15Z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