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Audyt techniczny projektu</w:t>
        <w:br/>
        <w:t>ECU Dust ONE</w:t>
      </w:r>
    </w:p>
    <w:p>
      <w:pPr>
        <w:pStyle w:val="Metadata"/>
        <w:keepNext w:val="0"/>
        <w:keepLines/>
      </w:pPr>
      <w:r>
        <w:t>AUD-ECU-002 v1.0 • 11 października 2026 • Właściciel projektu Paweł</w:t>
      </w:r>
    </w:p>
    <w:p>
      <w:pPr>
        <w:pStyle w:val="Metadata"/>
        <w:keepNext w:val="0"/>
        <w:keepLines/>
      </w:pPr>
      <w:r>
        <w:t>Podstawa: DOC-010 v1.1, Dossier audytowe, wydane 11 października 2026. Zakres produktu: MVP-A, Beta 300 RR 2015, gaźnik bez TPS.</w:t>
      </w:r>
    </w:p>
    <w:p>
      <w:bookmarkStart w:id="1" w:name="s1"/>
      <w:pPr>
        <w:pStyle w:val="Heading1"/>
      </w:pPr>
      <w:r>
        <w:t>1 Werdykt i decyzja o kontynuacji</w:t>
      </w:r>
      <w:bookmarkEnd w:id="1"/>
    </w:p>
    <w:p>
      <w:pPr>
        <w:keepNext w:val="0"/>
        <w:keepLines/>
      </w:pPr>
      <w:r>
        <w:rPr>
          <w:b/>
        </w:rPr>
        <w:t xml:space="preserve">Werdykt </w:t>
      </w:r>
      <w:r>
        <w:t>NO-GO dla wdrażania firmware produkcyjnego, zamrożenia PCB oraz dopuszczenia nowego ECU do sterowania silnikiem. Nie są zamknięte wymagania G0, a w torze energii, synchronizacji i odcięcia występują kwestie P0 wymagające rozstrzygnięcia.</w:t>
      </w:r>
    </w:p>
    <w:p>
      <w:pPr>
        <w:keepNext w:val="0"/>
        <w:keepLines/>
      </w:pPr>
      <w:r>
        <w:t>GO dla naprawy wymagań, utworzenia repozytorium, pasywnej charakterystyki instalacji fabrycznej i odizolowanych badań wykonalności na stanowisku. Prototyp badawczy może dostarczyć brakujących danych, ale nie stanowi zatwierdzonego firmware ani dowodu przejścia bramki.</w:t>
      </w:r>
    </w:p>
    <w:p>
      <w:pPr>
        <w:keepNext w:val="0"/>
        <w:keepLines/>
      </w:pPr>
      <w:r>
        <w:t>Rejestr zawiera 50 ustaleń: 13 P0, 36 P1 i 1 P2. W ich podstawie dowodowej rozróżniono 13 potwierdzonych błędów lub niespójności dokumentacji, 12 warunkowych ryzyk technicznych i 25 kwestii otwartych albo niewykazanych w dossier. Kategorie są rozłączne, a priorytet nie jest miarą pewności.</w:t>
      </w:r>
    </w:p>
    <w:tbl>
      <w:tblPr>
        <w:jc w:val="center"/>
        <w:tblLayout w:type="fixed"/>
        <w:tblLook w:firstColumn="1" w:firstRow="1" w:lastColumn="0" w:lastRow="0" w:noHBand="0" w:noVBand="1" w:val="04A0"/>
        <w:tblW w:type="dxa" w:w="10224"/>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152"/>
        <w:gridCol w:w="864"/>
        <w:gridCol w:w="8208"/>
      </w:tblGrid>
      <w:tr>
        <w:trPr>
          <w:cantSplit/>
          <w:tblHeader/>
        </w:trPr>
        <w:tc>
          <w:tcPr>
            <w:tcW w:type="dxa" w:w="1152"/>
            <w:vAlign w:val="center"/>
            <w:shd w:fill="3D3D3D"/>
          </w:tcPr>
          <w:p>
            <w:pPr>
              <w:pStyle w:val="TableText"/>
              <w:keepNext w:val="0"/>
              <w:keepLines/>
              <w:spacing w:after="0"/>
              <w:jc w:val="center"/>
            </w:pPr>
            <w:r>
              <w:rPr>
                <w:b/>
                <w:color w:val="FFFFFF"/>
              </w:rPr>
              <w:t>Priorytet</w:t>
            </w:r>
          </w:p>
        </w:tc>
        <w:tc>
          <w:tcPr>
            <w:tcW w:type="dxa" w:w="864"/>
            <w:vAlign w:val="center"/>
            <w:shd w:fill="3D3D3D"/>
          </w:tcPr>
          <w:p>
            <w:pPr>
              <w:pStyle w:val="TableText"/>
              <w:keepNext w:val="0"/>
              <w:keepLines/>
              <w:spacing w:after="0"/>
              <w:jc w:val="center"/>
            </w:pPr>
            <w:r>
              <w:rPr>
                <w:b/>
                <w:color w:val="FFFFFF"/>
              </w:rPr>
              <w:t>Liczba</w:t>
            </w:r>
          </w:p>
        </w:tc>
        <w:tc>
          <w:tcPr>
            <w:tcW w:type="dxa" w:w="8208"/>
            <w:vAlign w:val="center"/>
            <w:shd w:fill="3D3D3D"/>
          </w:tcPr>
          <w:p>
            <w:pPr>
              <w:pStyle w:val="TableText"/>
              <w:keepNext w:val="0"/>
              <w:keepLines/>
              <w:spacing w:after="0"/>
            </w:pPr>
            <w:r>
              <w:rPr>
                <w:b/>
                <w:color w:val="FFFFFF"/>
              </w:rPr>
              <w:t>Znaczenie dla decyzji</w:t>
            </w:r>
          </w:p>
        </w:tc>
      </w:tr>
      <w:tr>
        <w:trPr>
          <w:cantSplit/>
        </w:trPr>
        <w:tc>
          <w:tcPr>
            <w:tcW w:type="dxa" w:w="1152"/>
            <w:vAlign w:val="center"/>
            <w:shd w:fill="FFFFFF"/>
          </w:tcPr>
          <w:p>
            <w:pPr>
              <w:pStyle w:val="TableText"/>
              <w:keepNext w:val="0"/>
              <w:keepLines/>
              <w:spacing w:after="0"/>
              <w:jc w:val="center"/>
            </w:pPr>
            <w:r>
              <w:t>P0</w:t>
            </w:r>
          </w:p>
        </w:tc>
        <w:tc>
          <w:tcPr>
            <w:tcW w:type="dxa" w:w="864"/>
            <w:vAlign w:val="center"/>
            <w:shd w:fill="FFFFFF"/>
          </w:tcPr>
          <w:p>
            <w:pPr>
              <w:pStyle w:val="TableText"/>
              <w:keepNext w:val="0"/>
              <w:keepLines/>
              <w:spacing w:after="0"/>
              <w:jc w:val="center"/>
            </w:pPr>
            <w:r>
              <w:t>13</w:t>
            </w:r>
          </w:p>
        </w:tc>
        <w:tc>
          <w:tcPr>
            <w:tcW w:type="dxa" w:w="8208"/>
            <w:vAlign w:val="center"/>
            <w:shd w:fill="FFFFFF"/>
          </w:tcPr>
          <w:p>
            <w:pPr>
              <w:pStyle w:val="TableText"/>
              <w:keepNext w:val="0"/>
              <w:keepLines/>
              <w:spacing w:after="0"/>
            </w:pPr>
            <w:r>
              <w:t>Warunek konieczny przed zatwierdzeniem wskazanego etapu; obejmuje też ryzyka wymagające obalenia lub zabezpieczenia.</w:t>
            </w:r>
          </w:p>
        </w:tc>
      </w:tr>
      <w:tr>
        <w:trPr>
          <w:cantSplit/>
        </w:trPr>
        <w:tc>
          <w:tcPr>
            <w:tcW w:type="dxa" w:w="1152"/>
            <w:vAlign w:val="center"/>
            <w:shd w:fill="F4F4F4"/>
          </w:tcPr>
          <w:p>
            <w:pPr>
              <w:pStyle w:val="TableText"/>
              <w:keepNext w:val="0"/>
              <w:keepLines/>
              <w:spacing w:after="0"/>
              <w:jc w:val="center"/>
            </w:pPr>
            <w:r>
              <w:t>P1</w:t>
            </w:r>
          </w:p>
        </w:tc>
        <w:tc>
          <w:tcPr>
            <w:tcW w:type="dxa" w:w="864"/>
            <w:vAlign w:val="center"/>
            <w:shd w:fill="F4F4F4"/>
          </w:tcPr>
          <w:p>
            <w:pPr>
              <w:pStyle w:val="TableText"/>
              <w:keepNext w:val="0"/>
              <w:keepLines/>
              <w:spacing w:after="0"/>
              <w:jc w:val="center"/>
            </w:pPr>
            <w:r>
              <w:t>36</w:t>
            </w:r>
          </w:p>
        </w:tc>
        <w:tc>
          <w:tcPr>
            <w:tcW w:type="dxa" w:w="8208"/>
            <w:vAlign w:val="center"/>
            <w:shd w:fill="F4F4F4"/>
          </w:tcPr>
          <w:p>
            <w:pPr>
              <w:pStyle w:val="TableText"/>
              <w:keepNext w:val="0"/>
              <w:keepLines/>
              <w:spacing w:after="0"/>
            </w:pPr>
            <w:r>
              <w:t>Istotna jakość, wykonalność lub bezpieczeństwo. Pozycja dotycząca bezpieczeństwa blokuje bramkę zgodnie z regułą projektu.</w:t>
            </w:r>
          </w:p>
        </w:tc>
      </w:tr>
      <w:tr>
        <w:trPr>
          <w:cantSplit/>
        </w:trPr>
        <w:tc>
          <w:tcPr>
            <w:tcW w:type="dxa" w:w="1152"/>
            <w:vAlign w:val="center"/>
            <w:shd w:fill="FFFFFF"/>
          </w:tcPr>
          <w:p>
            <w:pPr>
              <w:pStyle w:val="TableText"/>
              <w:keepNext w:val="0"/>
              <w:keepLines/>
              <w:spacing w:after="0"/>
              <w:jc w:val="center"/>
            </w:pPr>
            <w:r>
              <w:t>P2</w:t>
            </w:r>
          </w:p>
        </w:tc>
        <w:tc>
          <w:tcPr>
            <w:tcW w:type="dxa" w:w="864"/>
            <w:vAlign w:val="center"/>
            <w:shd w:fill="FFFFFF"/>
          </w:tcPr>
          <w:p>
            <w:pPr>
              <w:pStyle w:val="TableText"/>
              <w:keepNext w:val="0"/>
              <w:keepLines/>
              <w:spacing w:after="0"/>
              <w:jc w:val="center"/>
            </w:pPr>
            <w:r>
              <w:t>1</w:t>
            </w:r>
          </w:p>
        </w:tc>
        <w:tc>
          <w:tcPr>
            <w:tcW w:type="dxa" w:w="8208"/>
            <w:vAlign w:val="center"/>
            <w:shd w:fill="FFFFFF"/>
          </w:tcPr>
          <w:p>
            <w:pPr>
              <w:pStyle w:val="TableText"/>
              <w:keepNext w:val="0"/>
              <w:keepLines/>
              <w:spacing w:after="0"/>
            </w:pPr>
            <w:r>
              <w:t>Porządek i spójność zapisów; nie jest samodzielną przyczyną NO-GO.</w:t>
            </w:r>
          </w:p>
        </w:tc>
      </w:tr>
    </w:tbl>
    <w:p>
      <w:pPr>
        <w:keepNext w:val="0"/>
        <w:keepLines/>
        <w:spacing w:after="40"/>
      </w:pPr>
      <w:r/>
    </w:p>
    <w:p>
      <w:pPr>
        <w:keepNext w:val="0"/>
        <w:keepLines/>
      </w:pPr>
      <w:r>
        <w:t>Najpierw należy rozstrzygnąć rzeczywisty rodzaj zapłonu i zgodność cewki, odwróconą lub nieudokumentowaną polaryzację EN, sposób wygaszania energii bez przypadkowej iskry oraz położenie elektrycznego znacznika VR względem GMP. Dopiero na tej podstawie można obronić strategię czasu ładowania, limit kąta i dowody synchronizacji.</w:t>
      </w:r>
    </w:p>
    <w:p>
      <w:pPr>
        <w:keepNext w:val="0"/>
        <w:keepLines/>
      </w:pPr>
      <w:r>
        <w:rPr>
          <w:b/>
        </w:rPr>
        <w:t xml:space="preserve">Granica oceny </w:t>
      </w:r>
      <w:r>
        <w:t>Ocena obejmuje cały dostarczony dokument oraz opisany w nim stan projektu. Nie dostarczono schematów, kompletnego BOM, kodu ani pełnych DOC-001–009. Nie stwierdzam na tej podstawie, że zabezpieczenia niewymienione w dossier nie istnieją. Ten raport nie jest certyfikacją ani niezależnym przeglądem wykonanym przez drugiego inżyniera.</w:t>
      </w:r>
    </w:p>
    <w:p>
      <w:bookmarkStart w:id="2" w:name="s2"/>
      <w:pPr>
        <w:pStyle w:val="Heading1"/>
      </w:pPr>
      <w:r>
        <w:t>2 Zakres i sposób oceny</w:t>
      </w:r>
      <w:bookmarkEnd w:id="2"/>
    </w:p>
    <w:p>
      <w:pPr>
        <w:keepNext w:val="0"/>
        <w:keepLines/>
      </w:pPr>
      <w:r>
        <w:t>Przeczytano wszystkie 470 linii dossier, w tym metrykę, historię wersji, zakres produktu, decyzje techniczne, odpowiedź na poprzedni audyt, rejestry i plan dalszych prac. Porównano wskazane funkcje układów z dokumentacją producentów, wykonano obliczenia kontrolne i sprawdzono wewnętrzne sprzeczności. Nie wykonano testów sprzętu, oględzin motocykla ani analizy nieistniejącego jeszcze kodu.</w:t>
      </w:r>
    </w:p>
    <w:p>
      <w:pPr>
        <w:keepNext w:val="0"/>
        <w:keepLines/>
      </w:pPr>
      <w:r>
        <w:t>MVP-A jest jedynym wariantem objętym bieżącą decyzją produktową. B i C oceniono jako przyszłe rezerwy oraz zależności wspólnego sprzętu; nie zastąpiono ich brakujących specyfikacji założeniami.</w:t>
      </w:r>
    </w:p>
    <w:tbl>
      <w:tblPr>
        <w:jc w:val="center"/>
        <w:tblLayout w:type="fixed"/>
        <w:tblLook w:firstColumn="1" w:firstRow="1" w:lastColumn="0" w:lastRow="0" w:noHBand="0" w:noVBand="1" w:val="04A0"/>
        <w:tblW w:type="dxa" w:w="10224"/>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792"/>
        <w:gridCol w:w="3816"/>
        <w:gridCol w:w="5616"/>
      </w:tblGrid>
      <w:tr>
        <w:trPr>
          <w:cantSplit/>
          <w:tblHeader/>
        </w:trPr>
        <w:tc>
          <w:tcPr>
            <w:tcW w:type="dxa" w:w="792"/>
            <w:vAlign w:val="center"/>
            <w:shd w:fill="3D3D3D"/>
          </w:tcPr>
          <w:p>
            <w:pPr>
              <w:pStyle w:val="TableText"/>
              <w:keepNext w:val="0"/>
              <w:keepLines/>
              <w:spacing w:after="0"/>
              <w:jc w:val="center"/>
            </w:pPr>
            <w:r>
              <w:rPr>
                <w:b/>
                <w:color w:val="FFFFFF"/>
              </w:rPr>
              <w:t>Kod</w:t>
            </w:r>
          </w:p>
        </w:tc>
        <w:tc>
          <w:tcPr>
            <w:tcW w:type="dxa" w:w="3816"/>
            <w:vAlign w:val="center"/>
            <w:shd w:fill="3D3D3D"/>
          </w:tcPr>
          <w:p>
            <w:pPr>
              <w:pStyle w:val="TableText"/>
              <w:keepNext w:val="0"/>
              <w:keepLines/>
              <w:spacing w:after="0"/>
            </w:pPr>
            <w:r>
              <w:rPr>
                <w:b/>
                <w:color w:val="FFFFFF"/>
              </w:rPr>
              <w:t>Podstawa ustalenia</w:t>
            </w:r>
          </w:p>
        </w:tc>
        <w:tc>
          <w:tcPr>
            <w:tcW w:type="dxa" w:w="5616"/>
            <w:vAlign w:val="center"/>
            <w:shd w:fill="3D3D3D"/>
          </w:tcPr>
          <w:p>
            <w:pPr>
              <w:pStyle w:val="TableText"/>
              <w:keepNext w:val="0"/>
              <w:keepLines/>
              <w:spacing w:after="0"/>
            </w:pPr>
            <w:r>
              <w:rPr>
                <w:b/>
                <w:color w:val="FFFFFF"/>
              </w:rPr>
              <w:t>Jak czytać wynik</w:t>
            </w:r>
          </w:p>
        </w:tc>
      </w:tr>
      <w:tr>
        <w:trPr>
          <w:cantSplit/>
        </w:trPr>
        <w:tc>
          <w:tcPr>
            <w:tcW w:type="dxa" w:w="792"/>
            <w:vAlign w:val="center"/>
            <w:shd w:fill="FFFFFF"/>
          </w:tcPr>
          <w:p>
            <w:pPr>
              <w:pStyle w:val="TableText"/>
              <w:keepNext w:val="0"/>
              <w:keepLines/>
              <w:spacing w:after="0"/>
              <w:jc w:val="center"/>
            </w:pPr>
            <w:r>
              <w:t>B</w:t>
            </w:r>
          </w:p>
        </w:tc>
        <w:tc>
          <w:tcPr>
            <w:tcW w:type="dxa" w:w="3816"/>
            <w:vAlign w:val="center"/>
            <w:shd w:fill="FFFFFF"/>
          </w:tcPr>
          <w:p>
            <w:pPr>
              <w:pStyle w:val="TableText"/>
              <w:keepNext w:val="0"/>
              <w:keepLines/>
              <w:spacing w:after="0"/>
            </w:pPr>
            <w:r>
              <w:t>Błąd lub niespójność potwierdzone w materiale</w:t>
            </w:r>
          </w:p>
        </w:tc>
        <w:tc>
          <w:tcPr>
            <w:tcW w:type="dxa" w:w="5616"/>
            <w:vAlign w:val="center"/>
            <w:shd w:fill="FFFFFF"/>
          </w:tcPr>
          <w:p>
            <w:pPr>
              <w:pStyle w:val="TableText"/>
              <w:keepNext w:val="0"/>
              <w:keepLines/>
              <w:spacing w:after="0"/>
            </w:pPr>
            <w:r>
              <w:t>Potwierdzony zapis lub rozbieżność. Nie musi oznaczać potwierdzonej wady zmontowanego układu.</w:t>
            </w:r>
          </w:p>
        </w:tc>
      </w:tr>
      <w:tr>
        <w:trPr>
          <w:cantSplit/>
        </w:trPr>
        <w:tc>
          <w:tcPr>
            <w:tcW w:type="dxa" w:w="792"/>
            <w:vAlign w:val="center"/>
            <w:shd w:fill="F4F4F4"/>
          </w:tcPr>
          <w:p>
            <w:pPr>
              <w:pStyle w:val="TableText"/>
              <w:keepNext w:val="0"/>
              <w:keepLines/>
              <w:spacing w:after="0"/>
              <w:jc w:val="center"/>
            </w:pPr>
            <w:r>
              <w:t>R</w:t>
            </w:r>
          </w:p>
        </w:tc>
        <w:tc>
          <w:tcPr>
            <w:tcW w:type="dxa" w:w="3816"/>
            <w:vAlign w:val="center"/>
            <w:shd w:fill="F4F4F4"/>
          </w:tcPr>
          <w:p>
            <w:pPr>
              <w:pStyle w:val="TableText"/>
              <w:keepNext w:val="0"/>
              <w:keepLines/>
              <w:spacing w:after="0"/>
            </w:pPr>
            <w:r>
              <w:t>Warunkowe ryzyko techniczne</w:t>
            </w:r>
          </w:p>
        </w:tc>
        <w:tc>
          <w:tcPr>
            <w:tcW w:type="dxa" w:w="5616"/>
            <w:vAlign w:val="center"/>
            <w:shd w:fill="F4F4F4"/>
          </w:tcPr>
          <w:p>
            <w:pPr>
              <w:pStyle w:val="TableText"/>
              <w:keepNext w:val="0"/>
              <w:keepLines/>
              <w:spacing w:after="0"/>
            </w:pPr>
            <w:r>
              <w:t>Mechanizm awarii wynika z fizyki lub kart. Występowanie w projekcie wymaga schematu albo pomiaru.</w:t>
            </w:r>
          </w:p>
        </w:tc>
      </w:tr>
      <w:tr>
        <w:trPr>
          <w:cantSplit/>
        </w:trPr>
        <w:tc>
          <w:tcPr>
            <w:tcW w:type="dxa" w:w="792"/>
            <w:vAlign w:val="center"/>
            <w:shd w:fill="FFFFFF"/>
          </w:tcPr>
          <w:p>
            <w:pPr>
              <w:pStyle w:val="TableText"/>
              <w:keepNext w:val="0"/>
              <w:keepLines/>
              <w:spacing w:after="0"/>
              <w:jc w:val="center"/>
            </w:pPr>
            <w:r>
              <w:t>O</w:t>
            </w:r>
          </w:p>
        </w:tc>
        <w:tc>
          <w:tcPr>
            <w:tcW w:type="dxa" w:w="3816"/>
            <w:vAlign w:val="center"/>
            <w:shd w:fill="FFFFFF"/>
          </w:tcPr>
          <w:p>
            <w:pPr>
              <w:pStyle w:val="TableText"/>
              <w:keepNext w:val="0"/>
              <w:keepLines/>
              <w:spacing w:after="0"/>
            </w:pPr>
            <w:r>
              <w:t>Otwarte albo niewykazane</w:t>
            </w:r>
          </w:p>
        </w:tc>
        <w:tc>
          <w:tcPr>
            <w:tcW w:type="dxa" w:w="5616"/>
            <w:vAlign w:val="center"/>
            <w:shd w:fill="FFFFFF"/>
          </w:tcPr>
          <w:p>
            <w:pPr>
              <w:pStyle w:val="TableText"/>
              <w:keepNext w:val="0"/>
              <w:keepLines/>
              <w:spacing w:after="0"/>
            </w:pPr>
            <w:r>
              <w:t>Dossier nie przedstawia wystarczającego dowodu. Brak w dossier nie dowodzi braku w pełnym projekcie.</w:t>
            </w:r>
          </w:p>
        </w:tc>
      </w:tr>
    </w:tbl>
    <w:p>
      <w:pPr>
        <w:keepNext w:val="0"/>
        <w:keepLines/>
        <w:spacing w:after="40"/>
      </w:pPr>
      <w:r/>
    </w:p>
    <w:p>
      <w:pPr>
        <w:keepNext w:val="0"/>
        <w:keepLines/>
      </w:pPr>
      <w:r>
        <w:t>Pole bramka oznacza najpóźniejszy etap, przed którym dana decyzja lub dowód ma być dostępny. To proponowane kryterium do wpisania do planu, a nie deklaracja, że wszystkie późniejsze testy muszą zostać wykonane przed G0. Wymagania i architektura muszą jednak ustalać ich mierzalne kryteria wcześniej. Oryginalną regułę blokady otwartych P0 i kwestii bezpieczeństwa należy stosować wraz z jawnym przypisaniem do zakresu i bramki.</w:t>
      </w:r>
    </w:p>
    <w:p>
      <w:pPr>
        <w:keepNext w:val="0"/>
        <w:keepLines/>
      </w:pPr>
      <w:r>
        <w:t>Nazwy Nowe, Doprecyzowanie i Znane rozszerzone opisują relację do dossier i jego samooceny. Bez pełnego DOC-006 nie można zagwarantować, że każda pozycja Nowe była całkowicie nieznana zespołowi.</w:t>
      </w:r>
    </w:p>
    <w:tbl>
      <w:tblPr>
        <w:jc w:val="center"/>
        <w:tblLayout w:type="fixed"/>
        <w:tblLook w:firstColumn="1" w:firstRow="1" w:lastColumn="0" w:lastRow="0" w:noHBand="0" w:noVBand="1" w:val="04A0"/>
        <w:tblW w:type="dxa" w:w="10224"/>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3744"/>
        <w:gridCol w:w="2376"/>
        <w:gridCol w:w="4104"/>
      </w:tblGrid>
      <w:tr>
        <w:trPr>
          <w:cantSplit/>
          <w:tblHeader/>
        </w:trPr>
        <w:tc>
          <w:tcPr>
            <w:tcW w:type="dxa" w:w="3744"/>
            <w:vAlign w:val="center"/>
            <w:shd w:fill="3D3D3D"/>
          </w:tcPr>
          <w:p>
            <w:pPr>
              <w:pStyle w:val="TableText"/>
              <w:keepNext w:val="0"/>
              <w:keepLines/>
              <w:spacing w:after="0"/>
            </w:pPr>
            <w:r>
              <w:rPr>
                <w:b/>
                <w:color w:val="FFFFFF"/>
              </w:rPr>
              <w:t>Dokument</w:t>
            </w:r>
          </w:p>
        </w:tc>
        <w:tc>
          <w:tcPr>
            <w:tcW w:type="dxa" w:w="2376"/>
            <w:vAlign w:val="center"/>
            <w:shd w:fill="3D3D3D"/>
          </w:tcPr>
          <w:p>
            <w:pPr>
              <w:pStyle w:val="TableText"/>
              <w:keepNext w:val="0"/>
              <w:keepLines/>
              <w:spacing w:after="0"/>
            </w:pPr>
            <w:r>
              <w:rPr>
                <w:b/>
                <w:color w:val="FFFFFF"/>
              </w:rPr>
              <w:t>Wersja podana w dossier</w:t>
            </w:r>
          </w:p>
        </w:tc>
        <w:tc>
          <w:tcPr>
            <w:tcW w:type="dxa" w:w="4104"/>
            <w:vAlign w:val="center"/>
            <w:shd w:fill="3D3D3D"/>
          </w:tcPr>
          <w:p>
            <w:pPr>
              <w:pStyle w:val="TableText"/>
              <w:keepNext w:val="0"/>
              <w:keepLines/>
              <w:spacing w:after="0"/>
            </w:pPr>
            <w:r>
              <w:rPr>
                <w:b/>
                <w:color w:val="FFFFFF"/>
              </w:rPr>
              <w:t>Dostępność w audycie</w:t>
            </w:r>
          </w:p>
        </w:tc>
      </w:tr>
      <w:tr>
        <w:trPr>
          <w:cantSplit/>
        </w:trPr>
        <w:tc>
          <w:tcPr>
            <w:tcW w:type="dxa" w:w="3744"/>
            <w:vAlign w:val="center"/>
            <w:shd w:fill="FFFFFF"/>
          </w:tcPr>
          <w:p>
            <w:pPr>
              <w:pStyle w:val="TableText"/>
              <w:keepNext w:val="0"/>
              <w:keepLines/>
              <w:spacing w:after="0"/>
            </w:pPr>
            <w:r>
              <w:t>DOC-001 proces rozwoju</w:t>
            </w:r>
          </w:p>
        </w:tc>
        <w:tc>
          <w:tcPr>
            <w:tcW w:type="dxa" w:w="2376"/>
            <w:vAlign w:val="center"/>
            <w:shd w:fill="FFFFFF"/>
          </w:tcPr>
          <w:p>
            <w:pPr>
              <w:pStyle w:val="TableText"/>
              <w:keepNext w:val="0"/>
              <w:keepLines/>
              <w:spacing w:after="0"/>
            </w:pPr>
            <w:r>
              <w:t>3.9</w:t>
            </w:r>
          </w:p>
        </w:tc>
        <w:tc>
          <w:tcPr>
            <w:tcW w:type="dxa" w:w="4104"/>
            <w:vAlign w:val="center"/>
            <w:shd w:fill="FFFFFF"/>
          </w:tcPr>
          <w:p>
            <w:pPr>
              <w:pStyle w:val="TableText"/>
              <w:keepNext w:val="0"/>
              <w:keepLines/>
              <w:spacing w:after="0"/>
            </w:pPr>
            <w:r>
              <w:t>Wyłącznie wyciągi i deklaracje w DOC-010</w:t>
            </w:r>
          </w:p>
        </w:tc>
      </w:tr>
      <w:tr>
        <w:trPr>
          <w:cantSplit/>
        </w:trPr>
        <w:tc>
          <w:tcPr>
            <w:tcW w:type="dxa" w:w="3744"/>
            <w:vAlign w:val="center"/>
            <w:shd w:fill="F4F4F4"/>
          </w:tcPr>
          <w:p>
            <w:pPr>
              <w:pStyle w:val="TableText"/>
              <w:keepNext w:val="0"/>
              <w:keepLines/>
              <w:spacing w:after="0"/>
            </w:pPr>
            <w:r>
              <w:t>DOC-002 wymagania</w:t>
            </w:r>
          </w:p>
        </w:tc>
        <w:tc>
          <w:tcPr>
            <w:tcW w:type="dxa" w:w="2376"/>
            <w:vAlign w:val="center"/>
            <w:shd w:fill="F4F4F4"/>
          </w:tcPr>
          <w:p>
            <w:pPr>
              <w:pStyle w:val="TableText"/>
              <w:keepNext w:val="0"/>
              <w:keepLines/>
              <w:spacing w:after="0"/>
            </w:pPr>
            <w:r>
              <w:t>1.5</w:t>
            </w:r>
          </w:p>
        </w:tc>
        <w:tc>
          <w:tcPr>
            <w:tcW w:type="dxa" w:w="4104"/>
            <w:vAlign w:val="center"/>
            <w:shd w:fill="F4F4F4"/>
          </w:tcPr>
          <w:p>
            <w:pPr>
              <w:pStyle w:val="TableText"/>
              <w:keepNext w:val="0"/>
              <w:keepLines/>
              <w:spacing w:after="0"/>
            </w:pPr>
            <w:r>
              <w:t>Wyłącznie liczniki i wybrane wymagania</w:t>
            </w:r>
          </w:p>
        </w:tc>
      </w:tr>
      <w:tr>
        <w:trPr>
          <w:cantSplit/>
        </w:trPr>
        <w:tc>
          <w:tcPr>
            <w:tcW w:type="dxa" w:w="3744"/>
            <w:vAlign w:val="center"/>
            <w:shd w:fill="FFFFFF"/>
          </w:tcPr>
          <w:p>
            <w:pPr>
              <w:pStyle w:val="TableText"/>
              <w:keepNext w:val="0"/>
              <w:keepLines/>
              <w:spacing w:after="0"/>
            </w:pPr>
            <w:r>
              <w:t>DOC-003 architektura</w:t>
            </w:r>
          </w:p>
        </w:tc>
        <w:tc>
          <w:tcPr>
            <w:tcW w:type="dxa" w:w="2376"/>
            <w:vAlign w:val="center"/>
            <w:shd w:fill="FFFFFF"/>
          </w:tcPr>
          <w:p>
            <w:pPr>
              <w:pStyle w:val="TableText"/>
              <w:keepNext w:val="0"/>
              <w:keepLines/>
              <w:spacing w:after="0"/>
            </w:pPr>
            <w:r>
              <w:t>1.2</w:t>
            </w:r>
          </w:p>
        </w:tc>
        <w:tc>
          <w:tcPr>
            <w:tcW w:type="dxa" w:w="4104"/>
            <w:vAlign w:val="center"/>
            <w:shd w:fill="FFFFFF"/>
          </w:tcPr>
          <w:p>
            <w:pPr>
              <w:pStyle w:val="TableText"/>
              <w:keepNext w:val="0"/>
              <w:keepLines/>
              <w:spacing w:after="0"/>
            </w:pPr>
            <w:r>
              <w:t>Diagram nieudostępniony</w:t>
            </w:r>
          </w:p>
        </w:tc>
      </w:tr>
      <w:tr>
        <w:trPr>
          <w:cantSplit/>
        </w:trPr>
        <w:tc>
          <w:tcPr>
            <w:tcW w:type="dxa" w:w="3744"/>
            <w:vAlign w:val="center"/>
            <w:shd w:fill="F4F4F4"/>
          </w:tcPr>
          <w:p>
            <w:pPr>
              <w:pStyle w:val="TableText"/>
              <w:keepNext w:val="0"/>
              <w:keepLines/>
              <w:spacing w:after="0"/>
            </w:pPr>
            <w:r>
              <w:t>DOC-004 specyfikacja firmware</w:t>
            </w:r>
          </w:p>
        </w:tc>
        <w:tc>
          <w:tcPr>
            <w:tcW w:type="dxa" w:w="2376"/>
            <w:vAlign w:val="center"/>
            <w:shd w:fill="F4F4F4"/>
          </w:tcPr>
          <w:p>
            <w:pPr>
              <w:pStyle w:val="TableText"/>
              <w:keepNext w:val="0"/>
              <w:keepLines/>
              <w:spacing w:after="0"/>
            </w:pPr>
            <w:r>
              <w:t>1.7</w:t>
            </w:r>
          </w:p>
        </w:tc>
        <w:tc>
          <w:tcPr>
            <w:tcW w:type="dxa" w:w="4104"/>
            <w:vAlign w:val="center"/>
            <w:shd w:fill="F4F4F4"/>
          </w:tcPr>
          <w:p>
            <w:pPr>
              <w:pStyle w:val="TableText"/>
              <w:keepNext w:val="0"/>
              <w:keepLines/>
              <w:spacing w:after="0"/>
            </w:pPr>
            <w:r>
              <w:t>Wyciągi A, B, C.1 i status pozostałych punktów</w:t>
            </w:r>
          </w:p>
        </w:tc>
      </w:tr>
      <w:tr>
        <w:trPr>
          <w:cantSplit/>
        </w:trPr>
        <w:tc>
          <w:tcPr>
            <w:tcW w:type="dxa" w:w="3744"/>
            <w:vAlign w:val="center"/>
            <w:shd w:fill="FFFFFF"/>
          </w:tcPr>
          <w:p>
            <w:pPr>
              <w:pStyle w:val="TableText"/>
              <w:keepNext w:val="0"/>
              <w:keepLines/>
              <w:spacing w:after="0"/>
            </w:pPr>
            <w:r>
              <w:t>DOC-005 komponenty</w:t>
            </w:r>
          </w:p>
        </w:tc>
        <w:tc>
          <w:tcPr>
            <w:tcW w:type="dxa" w:w="2376"/>
            <w:vAlign w:val="center"/>
            <w:shd w:fill="FFFFFF"/>
          </w:tcPr>
          <w:p>
            <w:pPr>
              <w:pStyle w:val="TableText"/>
              <w:keepNext w:val="0"/>
              <w:keepLines/>
              <w:spacing w:after="0"/>
            </w:pPr>
            <w:r>
              <w:t>1.6</w:t>
            </w:r>
          </w:p>
        </w:tc>
        <w:tc>
          <w:tcPr>
            <w:tcW w:type="dxa" w:w="4104"/>
            <w:vAlign w:val="center"/>
            <w:shd w:fill="FFFFFF"/>
          </w:tcPr>
          <w:p>
            <w:pPr>
              <w:pStyle w:val="TableText"/>
              <w:keepNext w:val="0"/>
              <w:keepLines/>
              <w:spacing w:after="0"/>
            </w:pPr>
            <w:r>
              <w:t>Wyciągi i historia błędów</w:t>
            </w:r>
          </w:p>
        </w:tc>
      </w:tr>
      <w:tr>
        <w:trPr>
          <w:cantSplit/>
        </w:trPr>
        <w:tc>
          <w:tcPr>
            <w:tcW w:type="dxa" w:w="3744"/>
            <w:vAlign w:val="center"/>
            <w:shd w:fill="F4F4F4"/>
          </w:tcPr>
          <w:p>
            <w:pPr>
              <w:pStyle w:val="TableText"/>
              <w:keepNext w:val="0"/>
              <w:keepLines/>
              <w:spacing w:after="0"/>
            </w:pPr>
            <w:r>
              <w:t>DOC-006 plan naprawczy</w:t>
            </w:r>
          </w:p>
        </w:tc>
        <w:tc>
          <w:tcPr>
            <w:tcW w:type="dxa" w:w="2376"/>
            <w:vAlign w:val="center"/>
            <w:shd w:fill="F4F4F4"/>
          </w:tcPr>
          <w:p>
            <w:pPr>
              <w:pStyle w:val="TableText"/>
              <w:keepNext w:val="0"/>
              <w:keepLines/>
              <w:spacing w:after="0"/>
            </w:pPr>
            <w:r>
              <w:t>1.7</w:t>
            </w:r>
          </w:p>
        </w:tc>
        <w:tc>
          <w:tcPr>
            <w:tcW w:type="dxa" w:w="4104"/>
            <w:vAlign w:val="center"/>
            <w:shd w:fill="F4F4F4"/>
          </w:tcPr>
          <w:p>
            <w:pPr>
              <w:pStyle w:val="TableText"/>
              <w:keepNext w:val="0"/>
              <w:keepLines/>
              <w:spacing w:after="0"/>
            </w:pPr>
            <w:r>
              <w:t>Bilans i wybrane pozycje pierwszego audytu</w:t>
            </w:r>
          </w:p>
        </w:tc>
      </w:tr>
      <w:tr>
        <w:trPr>
          <w:cantSplit/>
        </w:trPr>
        <w:tc>
          <w:tcPr>
            <w:tcW w:type="dxa" w:w="3744"/>
            <w:vAlign w:val="center"/>
            <w:shd w:fill="FFFFFF"/>
          </w:tcPr>
          <w:p>
            <w:pPr>
              <w:pStyle w:val="TableText"/>
              <w:keepNext w:val="0"/>
              <w:keepLines/>
              <w:spacing w:after="0"/>
            </w:pPr>
            <w:r>
              <w:t>DOC-007 dawna specyfikacja</w:t>
            </w:r>
          </w:p>
        </w:tc>
        <w:tc>
          <w:tcPr>
            <w:tcW w:type="dxa" w:w="2376"/>
            <w:vAlign w:val="center"/>
            <w:shd w:fill="FFFFFF"/>
          </w:tcPr>
          <w:p>
            <w:pPr>
              <w:pStyle w:val="TableText"/>
              <w:keepNext w:val="0"/>
              <w:keepLines/>
              <w:spacing w:after="0"/>
            </w:pPr>
            <w:r>
              <w:t>0.1</w:t>
            </w:r>
          </w:p>
        </w:tc>
        <w:tc>
          <w:tcPr>
            <w:tcW w:type="dxa" w:w="4104"/>
            <w:vAlign w:val="center"/>
            <w:shd w:fill="FFFFFF"/>
          </w:tcPr>
          <w:p>
            <w:pPr>
              <w:pStyle w:val="TableText"/>
              <w:keepNext w:val="0"/>
              <w:keepLines/>
              <w:spacing w:after="0"/>
            </w:pPr>
            <w:r>
              <w:t>Opisany jako nieaktualny; nie użyto jako baseline</w:t>
            </w:r>
          </w:p>
        </w:tc>
      </w:tr>
      <w:tr>
        <w:trPr>
          <w:cantSplit/>
        </w:trPr>
        <w:tc>
          <w:tcPr>
            <w:tcW w:type="dxa" w:w="3744"/>
            <w:vAlign w:val="center"/>
            <w:shd w:fill="F4F4F4"/>
          </w:tcPr>
          <w:p>
            <w:pPr>
              <w:pStyle w:val="TableText"/>
              <w:keepNext w:val="0"/>
              <w:keepLines/>
              <w:spacing w:after="0"/>
            </w:pPr>
            <w:r>
              <w:t>DOC-008 i DOC-009 bezpieczeństwo</w:t>
            </w:r>
          </w:p>
        </w:tc>
        <w:tc>
          <w:tcPr>
            <w:tcW w:type="dxa" w:w="2376"/>
            <w:vAlign w:val="center"/>
            <w:shd w:fill="F4F4F4"/>
          </w:tcPr>
          <w:p>
            <w:pPr>
              <w:pStyle w:val="TableText"/>
              <w:keepNext w:val="0"/>
              <w:keepLines/>
              <w:spacing w:after="0"/>
            </w:pPr>
            <w:r>
              <w:t>1.2 i 1.0</w:t>
            </w:r>
          </w:p>
        </w:tc>
        <w:tc>
          <w:tcPr>
            <w:tcW w:type="dxa" w:w="4104"/>
            <w:vAlign w:val="center"/>
            <w:shd w:fill="F4F4F4"/>
          </w:tcPr>
          <w:p>
            <w:pPr>
              <w:pStyle w:val="TableText"/>
              <w:keepNext w:val="0"/>
              <w:keepLines/>
              <w:spacing w:after="0"/>
            </w:pPr>
            <w:r>
              <w:t>Diagramy nieudostępnione</w:t>
            </w:r>
          </w:p>
        </w:tc>
      </w:tr>
      <w:tr>
        <w:trPr>
          <w:cantSplit/>
        </w:trPr>
        <w:tc>
          <w:tcPr>
            <w:tcW w:type="dxa" w:w="3744"/>
            <w:vAlign w:val="center"/>
            <w:shd w:fill="FFFFFF"/>
          </w:tcPr>
          <w:p>
            <w:pPr>
              <w:pStyle w:val="TableText"/>
              <w:keepNext w:val="0"/>
              <w:keepLines/>
              <w:spacing w:after="0"/>
            </w:pPr>
            <w:r>
              <w:t>DOC-010 dossier</w:t>
            </w:r>
          </w:p>
        </w:tc>
        <w:tc>
          <w:tcPr>
            <w:tcW w:type="dxa" w:w="2376"/>
            <w:vAlign w:val="center"/>
            <w:shd w:fill="FFFFFF"/>
          </w:tcPr>
          <w:p>
            <w:pPr>
              <w:pStyle w:val="TableText"/>
              <w:keepNext w:val="0"/>
              <w:keepLines/>
              <w:spacing w:after="0"/>
            </w:pPr>
            <w:r>
              <w:t>1.1</w:t>
            </w:r>
          </w:p>
        </w:tc>
        <w:tc>
          <w:tcPr>
            <w:tcW w:type="dxa" w:w="4104"/>
            <w:vAlign w:val="center"/>
            <w:shd w:fill="FFFFFF"/>
          </w:tcPr>
          <w:p>
            <w:pPr>
              <w:pStyle w:val="TableText"/>
              <w:keepNext w:val="0"/>
              <w:keepLines/>
              <w:spacing w:after="0"/>
            </w:pPr>
            <w:r>
              <w:t>Pełny dostarczony plik, źródło S00</w:t>
            </w:r>
          </w:p>
        </w:tc>
      </w:tr>
    </w:tbl>
    <w:p>
      <w:pPr>
        <w:keepNext w:val="0"/>
        <w:keepLines/>
        <w:spacing w:after="40"/>
      </w:pPr>
      <w:r/>
    </w:p>
    <w:p>
      <w:pPr>
        <w:keepNext w:val="0"/>
        <w:keepLines/>
      </w:pPr>
      <w:r>
        <w:t>Nie można niezależnie potwierdzić kompletu 105 wymagań, wszystkich 51 DTC, 36 poprzednich ustaleń ani deklaracji o braku osieroconych odwołań we wszystkich dokumentach. Potwierdzono natomiast, że w samym dossier występują istotne kwestie mimo deklarowanego zamknięcia części pozycji.</w:t>
      </w:r>
    </w:p>
    <w:p>
      <w:pPr>
        <w:pStyle w:val="Heading2"/>
      </w:pPr>
      <w:r>
        <w:t>Nawigacja po raporcie</w:t>
      </w:r>
    </w:p>
    <w:p>
      <w:pPr>
        <w:pStyle w:val="Metadata"/>
        <w:keepNext w:val="0"/>
        <w:keepLines/>
      </w:pPr>
      <w:r/>
      <w:hyperlink w:anchor="s3">
        <w:r>
          <w:rPr>
            <w:color w:val="000000"/>
            <w:u w:val="single"/>
          </w:rPr>
          <w:t>3 Priorytetowe blokady</w:t>
        </w:r>
      </w:hyperlink>
      <w:r>
        <w:t xml:space="preserve">  •  </w:t>
      </w:r>
      <w:hyperlink w:anchor="s4">
        <w:r>
          <w:rPr>
            <w:color w:val="000000"/>
            <w:u w:val="single"/>
          </w:rPr>
          <w:t>4 Ustalenia dotyczące zapłonu i bezpieczeństwa</w:t>
        </w:r>
      </w:hyperlink>
    </w:p>
    <w:p>
      <w:pPr>
        <w:pStyle w:val="Metadata"/>
        <w:keepNext w:val="0"/>
        <w:keepLines/>
      </w:pPr>
      <w:r/>
      <w:hyperlink w:anchor="s5">
        <w:r>
          <w:rPr>
            <w:color w:val="000000"/>
            <w:u w:val="single"/>
          </w:rPr>
          <w:t>5 Ustalenia dotyczące sprzętu i funkcji</w:t>
        </w:r>
      </w:hyperlink>
      <w:r>
        <w:t xml:space="preserve">  •  </w:t>
      </w:r>
      <w:hyperlink w:anchor="s6">
        <w:r>
          <w:rPr>
            <w:color w:val="000000"/>
            <w:u w:val="single"/>
          </w:rPr>
          <w:t>6 Ustalenia dotyczące procesu i planu</w:t>
        </w:r>
      </w:hyperlink>
    </w:p>
    <w:p>
      <w:pPr>
        <w:pStyle w:val="Metadata"/>
        <w:keepNext w:val="0"/>
        <w:keepLines/>
      </w:pPr>
      <w:r/>
      <w:hyperlink w:anchor="s7">
        <w:r>
          <w:rPr>
            <w:color w:val="000000"/>
            <w:u w:val="single"/>
          </w:rPr>
          <w:t>7 Rozwiązania ocenione jako poprawne</w:t>
        </w:r>
      </w:hyperlink>
      <w:r>
        <w:t xml:space="preserve">  •  </w:t>
      </w:r>
      <w:hyperlink w:anchor="s8">
        <w:r>
          <w:rPr>
            <w:color w:val="000000"/>
            <w:u w:val="single"/>
          </w:rPr>
          <w:t>8 Odpowiedzi na pytania z dossier</w:t>
        </w:r>
      </w:hyperlink>
    </w:p>
    <w:p>
      <w:pPr>
        <w:pStyle w:val="Metadata"/>
        <w:keepNext w:val="0"/>
        <w:keepLines/>
      </w:pPr>
      <w:r/>
      <w:hyperlink w:anchor="s9">
        <w:r>
          <w:rPr>
            <w:color w:val="000000"/>
            <w:u w:val="single"/>
          </w:rPr>
          <w:t>9 Obliczenia kontrolne</w:t>
        </w:r>
      </w:hyperlink>
      <w:r>
        <w:t xml:space="preserve">  •  </w:t>
      </w:r>
      <w:hyperlink w:anchor="s10">
        <w:r>
          <w:rPr>
            <w:color w:val="000000"/>
            <w:u w:val="single"/>
          </w:rPr>
          <w:t>10 Kolejność prac i kryteria bramek</w:t>
        </w:r>
      </w:hyperlink>
    </w:p>
    <w:p>
      <w:pPr>
        <w:pStyle w:val="Metadata"/>
        <w:keepNext w:val="0"/>
        <w:keepLines/>
      </w:pPr>
      <w:r/>
      <w:hyperlink w:anchor="s11">
        <w:r>
          <w:rPr>
            <w:color w:val="000000"/>
            <w:u w:val="single"/>
          </w:rPr>
          <w:t>11 Plan weryfikacji</w:t>
        </w:r>
      </w:hyperlink>
      <w:r>
        <w:t xml:space="preserve">  •  </w:t>
      </w:r>
      <w:hyperlink w:anchor="s12">
        <w:r>
          <w:rPr>
            <w:color w:val="000000"/>
            <w:u w:val="single"/>
          </w:rPr>
          <w:t>12 Pokrycie dokumentu i status wcześniejszych napraw</w:t>
        </w:r>
      </w:hyperlink>
    </w:p>
    <w:p>
      <w:pPr>
        <w:pStyle w:val="Metadata"/>
        <w:keepNext w:val="0"/>
        <w:keepLines/>
      </w:pPr>
      <w:r/>
      <w:hyperlink w:anchor="s13">
        <w:r>
          <w:rPr>
            <w:color w:val="000000"/>
            <w:u w:val="single"/>
          </w:rPr>
          <w:t>13 Źródła i identyfikacja materiału wejściowego</w:t>
        </w:r>
      </w:hyperlink>
    </w:p>
    <w:p>
      <w:bookmarkStart w:id="3" w:name="s3"/>
      <w:pPr>
        <w:pStyle w:val="Heading1"/>
      </w:pPr>
      <w:r>
        <w:t>3 Priorytetowe blokady</w:t>
      </w:r>
      <w:bookmarkEnd w:id="3"/>
    </w:p>
    <w:p>
      <w:pPr>
        <w:keepNext w:val="0"/>
        <w:keepLines/>
      </w:pPr>
      <w:r>
        <w:t>Poniższa tabela służy do ustalenia kolejności rozstrzygnięć. Pełne uzasadnienia, konsekwencje i wymagane dowody zamknięcia znajdują się pod odpowiadającymi im identyfikatorami A01–A50.</w:t>
      </w:r>
    </w:p>
    <w:tbl>
      <w:tblPr>
        <w:jc w:val="center"/>
        <w:tblLayout w:type="fixed"/>
        <w:tblLook w:firstColumn="1" w:firstRow="1" w:lastColumn="0" w:lastRow="0" w:noHBand="0" w:noVBand="1" w:val="04A0"/>
        <w:tblW w:type="dxa" w:w="10224"/>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080"/>
        <w:gridCol w:w="1152"/>
        <w:gridCol w:w="7992"/>
      </w:tblGrid>
      <w:tr>
        <w:trPr>
          <w:cantSplit/>
          <w:tblHeader/>
        </w:trPr>
        <w:tc>
          <w:tcPr>
            <w:tcW w:type="dxa" w:w="1080"/>
            <w:vAlign w:val="center"/>
            <w:shd w:fill="3D3D3D"/>
          </w:tcPr>
          <w:p>
            <w:pPr>
              <w:pStyle w:val="TableText"/>
              <w:keepNext w:val="0"/>
              <w:keepLines/>
              <w:spacing w:after="0"/>
              <w:jc w:val="center"/>
            </w:pPr>
            <w:r>
              <w:rPr>
                <w:b/>
                <w:color w:val="FFFFFF"/>
              </w:rPr>
              <w:t>Pozycja</w:t>
            </w:r>
          </w:p>
        </w:tc>
        <w:tc>
          <w:tcPr>
            <w:tcW w:type="dxa" w:w="1152"/>
            <w:vAlign w:val="center"/>
            <w:shd w:fill="3D3D3D"/>
          </w:tcPr>
          <w:p>
            <w:pPr>
              <w:pStyle w:val="TableText"/>
              <w:keepNext w:val="0"/>
              <w:keepLines/>
              <w:spacing w:after="0"/>
              <w:jc w:val="center"/>
            </w:pPr>
            <w:r>
              <w:rPr>
                <w:b/>
                <w:color w:val="FFFFFF"/>
              </w:rPr>
              <w:t>Kod</w:t>
            </w:r>
          </w:p>
        </w:tc>
        <w:tc>
          <w:tcPr>
            <w:tcW w:type="dxa" w:w="7992"/>
            <w:vAlign w:val="center"/>
            <w:shd w:fill="3D3D3D"/>
          </w:tcPr>
          <w:p>
            <w:pPr>
              <w:pStyle w:val="TableText"/>
              <w:keepNext w:val="0"/>
              <w:keepLines/>
              <w:spacing w:after="0"/>
            </w:pPr>
            <w:r>
              <w:rPr>
                <w:b/>
                <w:color w:val="FFFFFF"/>
              </w:rPr>
              <w:t>Decyzja lub dowód wymagany najpierw</w:t>
            </w:r>
          </w:p>
        </w:tc>
      </w:tr>
      <w:tr>
        <w:trPr>
          <w:cantSplit/>
        </w:trPr>
        <w:tc>
          <w:tcPr>
            <w:tcW w:type="dxa" w:w="1080"/>
            <w:vAlign w:val="center"/>
            <w:shd w:fill="FFFFFF"/>
          </w:tcPr>
          <w:p>
            <w:pPr>
              <w:pStyle w:val="TableText"/>
              <w:keepNext w:val="0"/>
              <w:keepLines/>
              <w:spacing w:after="0"/>
              <w:jc w:val="center"/>
            </w:pPr>
            <w:r>
              <w:t>A01</w:t>
            </w:r>
          </w:p>
        </w:tc>
        <w:tc>
          <w:tcPr>
            <w:tcW w:type="dxa" w:w="1152"/>
            <w:vAlign w:val="center"/>
            <w:shd w:fill="FFFFFF"/>
          </w:tcPr>
          <w:p>
            <w:pPr>
              <w:pStyle w:val="TableText"/>
              <w:keepNext w:val="0"/>
              <w:keepLines/>
              <w:spacing w:after="0"/>
              <w:jc w:val="center"/>
            </w:pPr>
            <w:r>
              <w:t>R</w:t>
            </w:r>
          </w:p>
        </w:tc>
        <w:tc>
          <w:tcPr>
            <w:tcW w:type="dxa" w:w="7992"/>
            <w:vAlign w:val="center"/>
            <w:shd w:fill="FFFFFF"/>
          </w:tcPr>
          <w:p>
            <w:pPr>
              <w:pStyle w:val="TableText"/>
              <w:keepNext w:val="0"/>
              <w:keepLines/>
              <w:spacing w:after="0"/>
            </w:pPr>
            <w:r>
              <w:t>CDI albo zapłon indukcyjny i zgodna cewka</w:t>
            </w:r>
          </w:p>
        </w:tc>
      </w:tr>
      <w:tr>
        <w:trPr>
          <w:cantSplit/>
        </w:trPr>
        <w:tc>
          <w:tcPr>
            <w:tcW w:type="dxa" w:w="1080"/>
            <w:vAlign w:val="center"/>
            <w:shd w:fill="F4F4F4"/>
          </w:tcPr>
          <w:p>
            <w:pPr>
              <w:pStyle w:val="TableText"/>
              <w:keepNext w:val="0"/>
              <w:keepLines/>
              <w:spacing w:after="0"/>
              <w:jc w:val="center"/>
            </w:pPr>
            <w:r>
              <w:t>A02</w:t>
            </w:r>
          </w:p>
        </w:tc>
        <w:tc>
          <w:tcPr>
            <w:tcW w:type="dxa" w:w="1152"/>
            <w:vAlign w:val="center"/>
            <w:shd w:fill="F4F4F4"/>
          </w:tcPr>
          <w:p>
            <w:pPr>
              <w:pStyle w:val="TableText"/>
              <w:keepNext w:val="0"/>
              <w:keepLines/>
              <w:spacing w:after="0"/>
              <w:jc w:val="center"/>
            </w:pPr>
            <w:r>
              <w:t>B</w:t>
            </w:r>
          </w:p>
        </w:tc>
        <w:tc>
          <w:tcPr>
            <w:tcW w:type="dxa" w:w="7992"/>
            <w:vAlign w:val="center"/>
            <w:shd w:fill="F4F4F4"/>
          </w:tcPr>
          <w:p>
            <w:pPr>
              <w:pStyle w:val="TableText"/>
              <w:keepNext w:val="0"/>
              <w:keepLines/>
              <w:spacing w:after="0"/>
            </w:pPr>
            <w:r>
              <w:t>Tabela prawdy EN oraz stan przy resecie i utracie szyn</w:t>
            </w:r>
          </w:p>
        </w:tc>
      </w:tr>
      <w:tr>
        <w:trPr>
          <w:cantSplit/>
        </w:trPr>
        <w:tc>
          <w:tcPr>
            <w:tcW w:type="dxa" w:w="1080"/>
            <w:vAlign w:val="center"/>
            <w:shd w:fill="FFFFFF"/>
          </w:tcPr>
          <w:p>
            <w:pPr>
              <w:pStyle w:val="TableText"/>
              <w:keepNext w:val="0"/>
              <w:keepLines/>
              <w:spacing w:after="0"/>
              <w:jc w:val="center"/>
            </w:pPr>
            <w:r>
              <w:t>A03</w:t>
            </w:r>
          </w:p>
        </w:tc>
        <w:tc>
          <w:tcPr>
            <w:tcW w:type="dxa" w:w="1152"/>
            <w:vAlign w:val="center"/>
            <w:shd w:fill="FFFFFF"/>
          </w:tcPr>
          <w:p>
            <w:pPr>
              <w:pStyle w:val="TableText"/>
              <w:keepNext w:val="0"/>
              <w:keepLines/>
              <w:spacing w:after="0"/>
              <w:jc w:val="center"/>
            </w:pPr>
            <w:r>
              <w:t>R</w:t>
            </w:r>
          </w:p>
        </w:tc>
        <w:tc>
          <w:tcPr>
            <w:tcW w:type="dxa" w:w="7992"/>
            <w:vAlign w:val="center"/>
            <w:shd w:fill="FFFFFF"/>
          </w:tcPr>
          <w:p>
            <w:pPr>
              <w:pStyle w:val="TableText"/>
              <w:keepNext w:val="0"/>
              <w:keepLines/>
              <w:spacing w:after="0"/>
            </w:pPr>
            <w:r>
              <w:t>Awaryjne wygaszanie energii bez nieplanowanej iskry</w:t>
            </w:r>
          </w:p>
        </w:tc>
      </w:tr>
      <w:tr>
        <w:trPr>
          <w:cantSplit/>
        </w:trPr>
        <w:tc>
          <w:tcPr>
            <w:tcW w:type="dxa" w:w="1080"/>
            <w:vAlign w:val="center"/>
            <w:shd w:fill="F4F4F4"/>
          </w:tcPr>
          <w:p>
            <w:pPr>
              <w:pStyle w:val="TableText"/>
              <w:keepNext w:val="0"/>
              <w:keepLines/>
              <w:spacing w:after="0"/>
              <w:jc w:val="center"/>
            </w:pPr>
            <w:r>
              <w:t>A04</w:t>
            </w:r>
          </w:p>
        </w:tc>
        <w:tc>
          <w:tcPr>
            <w:tcW w:type="dxa" w:w="1152"/>
            <w:vAlign w:val="center"/>
            <w:shd w:fill="F4F4F4"/>
          </w:tcPr>
          <w:p>
            <w:pPr>
              <w:pStyle w:val="TableText"/>
              <w:keepNext w:val="0"/>
              <w:keepLines/>
              <w:spacing w:after="0"/>
              <w:jc w:val="center"/>
            </w:pPr>
            <w:r>
              <w:t>R</w:t>
            </w:r>
          </w:p>
        </w:tc>
        <w:tc>
          <w:tcPr>
            <w:tcW w:type="dxa" w:w="7992"/>
            <w:vAlign w:val="center"/>
            <w:shd w:fill="F4F4F4"/>
          </w:tcPr>
          <w:p>
            <w:pPr>
              <w:pStyle w:val="TableText"/>
              <w:keepNext w:val="0"/>
              <w:keepLines/>
              <w:spacing w:after="0"/>
            </w:pPr>
            <w:r>
              <w:t>Model usterek limitu dwell i nadzór poza tym modelem</w:t>
            </w:r>
          </w:p>
        </w:tc>
      </w:tr>
      <w:tr>
        <w:trPr>
          <w:cantSplit/>
        </w:trPr>
        <w:tc>
          <w:tcPr>
            <w:tcW w:type="dxa" w:w="1080"/>
            <w:vAlign w:val="center"/>
            <w:shd w:fill="FFFFFF"/>
          </w:tcPr>
          <w:p>
            <w:pPr>
              <w:pStyle w:val="TableText"/>
              <w:keepNext w:val="0"/>
              <w:keepLines/>
              <w:spacing w:after="0"/>
              <w:jc w:val="center"/>
            </w:pPr>
            <w:r>
              <w:t>A05</w:t>
            </w:r>
          </w:p>
        </w:tc>
        <w:tc>
          <w:tcPr>
            <w:tcW w:type="dxa" w:w="1152"/>
            <w:vAlign w:val="center"/>
            <w:shd w:fill="FFFFFF"/>
          </w:tcPr>
          <w:p>
            <w:pPr>
              <w:pStyle w:val="TableText"/>
              <w:keepNext w:val="0"/>
              <w:keepLines/>
              <w:spacing w:after="0"/>
              <w:jc w:val="center"/>
            </w:pPr>
            <w:r>
              <w:t>R</w:t>
            </w:r>
          </w:p>
        </w:tc>
        <w:tc>
          <w:tcPr>
            <w:tcW w:type="dxa" w:w="7992"/>
            <w:vAlign w:val="center"/>
            <w:shd w:fill="FFFFFF"/>
          </w:tcPr>
          <w:p>
            <w:pPr>
              <w:pStyle w:val="TableText"/>
              <w:keepNext w:val="0"/>
              <w:keepLines/>
              <w:spacing w:after="0"/>
            </w:pPr>
            <w:r>
              <w:t>Zakres timera wobec czasu ładowania w najgorszym przypadku</w:t>
            </w:r>
          </w:p>
        </w:tc>
      </w:tr>
      <w:tr>
        <w:trPr>
          <w:cantSplit/>
        </w:trPr>
        <w:tc>
          <w:tcPr>
            <w:tcW w:type="dxa" w:w="1080"/>
            <w:vAlign w:val="center"/>
            <w:shd w:fill="F4F4F4"/>
          </w:tcPr>
          <w:p>
            <w:pPr>
              <w:pStyle w:val="TableText"/>
              <w:keepNext w:val="0"/>
              <w:keepLines/>
              <w:spacing w:after="0"/>
              <w:jc w:val="center"/>
            </w:pPr>
            <w:r>
              <w:t>A06</w:t>
            </w:r>
          </w:p>
        </w:tc>
        <w:tc>
          <w:tcPr>
            <w:tcW w:type="dxa" w:w="1152"/>
            <w:vAlign w:val="center"/>
            <w:shd w:fill="F4F4F4"/>
          </w:tcPr>
          <w:p>
            <w:pPr>
              <w:pStyle w:val="TableText"/>
              <w:keepNext w:val="0"/>
              <w:keepLines/>
              <w:spacing w:after="0"/>
              <w:jc w:val="center"/>
            </w:pPr>
            <w:r>
              <w:t>R</w:t>
            </w:r>
          </w:p>
        </w:tc>
        <w:tc>
          <w:tcPr>
            <w:tcW w:type="dxa" w:w="7992"/>
            <w:vAlign w:val="center"/>
            <w:shd w:fill="F4F4F4"/>
          </w:tcPr>
          <w:p>
            <w:pPr>
              <w:pStyle w:val="TableText"/>
              <w:keepNext w:val="0"/>
              <w:keepLines/>
              <w:spacing w:after="0"/>
            </w:pPr>
            <w:r>
              <w:t>Zmierzony elektryczny znacznik MAX9926 względem GMP</w:t>
            </w:r>
          </w:p>
        </w:tc>
      </w:tr>
      <w:tr>
        <w:trPr>
          <w:cantSplit/>
        </w:trPr>
        <w:tc>
          <w:tcPr>
            <w:tcW w:type="dxa" w:w="1080"/>
            <w:vAlign w:val="center"/>
            <w:shd w:fill="FFFFFF"/>
          </w:tcPr>
          <w:p>
            <w:pPr>
              <w:pStyle w:val="TableText"/>
              <w:keepNext w:val="0"/>
              <w:keepLines/>
              <w:spacing w:after="0"/>
              <w:jc w:val="center"/>
            </w:pPr>
            <w:r>
              <w:t>A08</w:t>
            </w:r>
          </w:p>
        </w:tc>
        <w:tc>
          <w:tcPr>
            <w:tcW w:type="dxa" w:w="1152"/>
            <w:vAlign w:val="center"/>
            <w:shd w:fill="FFFFFF"/>
          </w:tcPr>
          <w:p>
            <w:pPr>
              <w:pStyle w:val="TableText"/>
              <w:keepNext w:val="0"/>
              <w:keepLines/>
              <w:spacing w:after="0"/>
              <w:jc w:val="center"/>
            </w:pPr>
            <w:r>
              <w:t>B</w:t>
            </w:r>
          </w:p>
        </w:tc>
        <w:tc>
          <w:tcPr>
            <w:tcW w:type="dxa" w:w="7992"/>
            <w:vAlign w:val="center"/>
            <w:shd w:fill="FFFFFF"/>
          </w:tcPr>
          <w:p>
            <w:pPr>
              <w:pStyle w:val="TableText"/>
              <w:keepNext w:val="0"/>
              <w:keepLines/>
              <w:spacing w:after="0"/>
            </w:pPr>
            <w:r>
              <w:t>Bezwzględna granica błędu obok percentyla jakości</w:t>
            </w:r>
          </w:p>
        </w:tc>
      </w:tr>
      <w:tr>
        <w:trPr>
          <w:cantSplit/>
        </w:trPr>
        <w:tc>
          <w:tcPr>
            <w:tcW w:type="dxa" w:w="1080"/>
            <w:vAlign w:val="center"/>
            <w:shd w:fill="F4F4F4"/>
          </w:tcPr>
          <w:p>
            <w:pPr>
              <w:pStyle w:val="TableText"/>
              <w:keepNext w:val="0"/>
              <w:keepLines/>
              <w:spacing w:after="0"/>
              <w:jc w:val="center"/>
            </w:pPr>
            <w:r>
              <w:t>A11</w:t>
            </w:r>
          </w:p>
        </w:tc>
        <w:tc>
          <w:tcPr>
            <w:tcW w:type="dxa" w:w="1152"/>
            <w:vAlign w:val="center"/>
            <w:shd w:fill="F4F4F4"/>
          </w:tcPr>
          <w:p>
            <w:pPr>
              <w:pStyle w:val="TableText"/>
              <w:keepNext w:val="0"/>
              <w:keepLines/>
              <w:spacing w:after="0"/>
              <w:jc w:val="center"/>
            </w:pPr>
            <w:r>
              <w:t>O</w:t>
            </w:r>
          </w:p>
        </w:tc>
        <w:tc>
          <w:tcPr>
            <w:tcW w:type="dxa" w:w="7992"/>
            <w:vAlign w:val="center"/>
            <w:shd w:fill="F4F4F4"/>
          </w:tcPr>
          <w:p>
            <w:pPr>
              <w:pStyle w:val="TableText"/>
              <w:keepNext w:val="0"/>
              <w:keepLines/>
              <w:spacing w:after="0"/>
            </w:pPr>
            <w:r>
              <w:t>Rozruch, pierwszy impuls, cofnięcie i utrata synchronizacji</w:t>
            </w:r>
          </w:p>
        </w:tc>
      </w:tr>
      <w:tr>
        <w:trPr>
          <w:cantSplit/>
        </w:trPr>
        <w:tc>
          <w:tcPr>
            <w:tcW w:type="dxa" w:w="1080"/>
            <w:vAlign w:val="center"/>
            <w:shd w:fill="FFFFFF"/>
          </w:tcPr>
          <w:p>
            <w:pPr>
              <w:pStyle w:val="TableText"/>
              <w:keepNext w:val="0"/>
              <w:keepLines/>
              <w:spacing w:after="0"/>
              <w:jc w:val="center"/>
            </w:pPr>
            <w:r>
              <w:t>A14</w:t>
            </w:r>
          </w:p>
        </w:tc>
        <w:tc>
          <w:tcPr>
            <w:tcW w:type="dxa" w:w="1152"/>
            <w:vAlign w:val="center"/>
            <w:shd w:fill="FFFFFF"/>
          </w:tcPr>
          <w:p>
            <w:pPr>
              <w:pStyle w:val="TableText"/>
              <w:keepNext w:val="0"/>
              <w:keepLines/>
              <w:spacing w:after="0"/>
              <w:jc w:val="center"/>
            </w:pPr>
            <w:r>
              <w:t>R</w:t>
            </w:r>
          </w:p>
        </w:tc>
        <w:tc>
          <w:tcPr>
            <w:tcW w:type="dxa" w:w="7992"/>
            <w:vAlign w:val="center"/>
            <w:shd w:fill="FFFFFF"/>
          </w:tcPr>
          <w:p>
            <w:pPr>
              <w:pStyle w:val="TableText"/>
              <w:keepNext w:val="0"/>
              <w:keepLines/>
              <w:spacing w:after="0"/>
            </w:pPr>
            <w:r>
              <w:t>Watchdog związany z postępem funkcji oraz nadzór napięcia</w:t>
            </w:r>
          </w:p>
        </w:tc>
      </w:tr>
      <w:tr>
        <w:trPr>
          <w:cantSplit/>
        </w:trPr>
        <w:tc>
          <w:tcPr>
            <w:tcW w:type="dxa" w:w="1080"/>
            <w:vAlign w:val="center"/>
            <w:shd w:fill="F4F4F4"/>
          </w:tcPr>
          <w:p>
            <w:pPr>
              <w:pStyle w:val="TableText"/>
              <w:keepNext w:val="0"/>
              <w:keepLines/>
              <w:spacing w:after="0"/>
              <w:jc w:val="center"/>
            </w:pPr>
            <w:r>
              <w:t>A15</w:t>
            </w:r>
          </w:p>
        </w:tc>
        <w:tc>
          <w:tcPr>
            <w:tcW w:type="dxa" w:w="1152"/>
            <w:vAlign w:val="center"/>
            <w:shd w:fill="F4F4F4"/>
          </w:tcPr>
          <w:p>
            <w:pPr>
              <w:pStyle w:val="TableText"/>
              <w:keepNext w:val="0"/>
              <w:keepLines/>
              <w:spacing w:after="0"/>
              <w:jc w:val="center"/>
            </w:pPr>
            <w:r>
              <w:t>R</w:t>
            </w:r>
          </w:p>
        </w:tc>
        <w:tc>
          <w:tcPr>
            <w:tcW w:type="dxa" w:w="7992"/>
            <w:vAlign w:val="center"/>
            <w:shd w:fill="F4F4F4"/>
          </w:tcPr>
          <w:p>
            <w:pPr>
              <w:pStyle w:val="TableText"/>
              <w:keepNext w:val="0"/>
              <w:keepLines/>
              <w:spacing w:after="0"/>
            </w:pPr>
            <w:r>
              <w:t>Odblokowanie K4 bez utożsamiania braku VR ze stojącym wałem</w:t>
            </w:r>
          </w:p>
        </w:tc>
      </w:tr>
      <w:tr>
        <w:trPr>
          <w:cantSplit/>
        </w:trPr>
        <w:tc>
          <w:tcPr>
            <w:tcW w:type="dxa" w:w="1080"/>
            <w:vAlign w:val="center"/>
            <w:shd w:fill="FFFFFF"/>
          </w:tcPr>
          <w:p>
            <w:pPr>
              <w:pStyle w:val="TableText"/>
              <w:keepNext w:val="0"/>
              <w:keepLines/>
              <w:spacing w:after="0"/>
              <w:jc w:val="center"/>
            </w:pPr>
            <w:r>
              <w:t>A21</w:t>
            </w:r>
          </w:p>
        </w:tc>
        <w:tc>
          <w:tcPr>
            <w:tcW w:type="dxa" w:w="1152"/>
            <w:vAlign w:val="center"/>
            <w:shd w:fill="FFFFFF"/>
          </w:tcPr>
          <w:p>
            <w:pPr>
              <w:pStyle w:val="TableText"/>
              <w:keepNext w:val="0"/>
              <w:keepLines/>
              <w:spacing w:after="0"/>
              <w:jc w:val="center"/>
            </w:pPr>
            <w:r>
              <w:t>O</w:t>
            </w:r>
          </w:p>
        </w:tc>
        <w:tc>
          <w:tcPr>
            <w:tcW w:type="dxa" w:w="7992"/>
            <w:vAlign w:val="center"/>
            <w:shd w:fill="FFFFFF"/>
          </w:tcPr>
          <w:p>
            <w:pPr>
              <w:pStyle w:val="TableText"/>
              <w:keepNext w:val="0"/>
              <w:keepLines/>
              <w:spacing w:after="0"/>
            </w:pPr>
            <w:r>
              <w:t>Blokada aktywacji zmian map podczas pracy MVP-A</w:t>
            </w:r>
          </w:p>
        </w:tc>
      </w:tr>
      <w:tr>
        <w:trPr>
          <w:cantSplit/>
        </w:trPr>
        <w:tc>
          <w:tcPr>
            <w:tcW w:type="dxa" w:w="1080"/>
            <w:vAlign w:val="center"/>
            <w:shd w:fill="F4F4F4"/>
          </w:tcPr>
          <w:p>
            <w:pPr>
              <w:pStyle w:val="TableText"/>
              <w:keepNext w:val="0"/>
              <w:keepLines/>
              <w:spacing w:after="0"/>
              <w:jc w:val="center"/>
            </w:pPr>
            <w:r>
              <w:t>A23</w:t>
            </w:r>
          </w:p>
        </w:tc>
        <w:tc>
          <w:tcPr>
            <w:tcW w:type="dxa" w:w="1152"/>
            <w:vAlign w:val="center"/>
            <w:shd w:fill="F4F4F4"/>
          </w:tcPr>
          <w:p>
            <w:pPr>
              <w:pStyle w:val="TableText"/>
              <w:keepNext w:val="0"/>
              <w:keepLines/>
              <w:spacing w:after="0"/>
              <w:jc w:val="center"/>
            </w:pPr>
            <w:r>
              <w:t>O</w:t>
            </w:r>
          </w:p>
        </w:tc>
        <w:tc>
          <w:tcPr>
            <w:tcW w:type="dxa" w:w="7992"/>
            <w:vAlign w:val="center"/>
            <w:shd w:fill="F4F4F4"/>
          </w:tcPr>
          <w:p>
            <w:pPr>
              <w:pStyle w:val="TableText"/>
              <w:keepNext w:val="0"/>
              <w:keepLines/>
              <w:spacing w:after="0"/>
            </w:pPr>
            <w:r>
              <w:t>Rozbrojone wyjścia przez cały bootloader i aktualizację</w:t>
            </w:r>
          </w:p>
        </w:tc>
      </w:tr>
      <w:tr>
        <w:trPr>
          <w:cantSplit/>
        </w:trPr>
        <w:tc>
          <w:tcPr>
            <w:tcW w:type="dxa" w:w="1080"/>
            <w:vAlign w:val="center"/>
            <w:shd w:fill="FFFFFF"/>
          </w:tcPr>
          <w:p>
            <w:pPr>
              <w:pStyle w:val="TableText"/>
              <w:keepNext w:val="0"/>
              <w:keepLines/>
              <w:spacing w:after="0"/>
              <w:jc w:val="center"/>
            </w:pPr>
            <w:r>
              <w:t>A25</w:t>
            </w:r>
          </w:p>
        </w:tc>
        <w:tc>
          <w:tcPr>
            <w:tcW w:type="dxa" w:w="1152"/>
            <w:vAlign w:val="center"/>
            <w:shd w:fill="FFFFFF"/>
          </w:tcPr>
          <w:p>
            <w:pPr>
              <w:pStyle w:val="TableText"/>
              <w:keepNext w:val="0"/>
              <w:keepLines/>
              <w:spacing w:after="0"/>
              <w:jc w:val="center"/>
            </w:pPr>
            <w:r>
              <w:t>O</w:t>
            </w:r>
          </w:p>
        </w:tc>
        <w:tc>
          <w:tcPr>
            <w:tcW w:type="dxa" w:w="7992"/>
            <w:vAlign w:val="center"/>
            <w:shd w:fill="FFFFFF"/>
          </w:tcPr>
          <w:p>
            <w:pPr>
              <w:pStyle w:val="TableText"/>
              <w:keepNext w:val="0"/>
              <w:keepLines/>
              <w:spacing w:after="0"/>
            </w:pPr>
            <w:r>
              <w:t>Obwiednia zasilania i skuteczne zabezpieczenie wejścia</w:t>
            </w:r>
          </w:p>
        </w:tc>
      </w:tr>
    </w:tbl>
    <w:p>
      <w:pPr>
        <w:keepNext w:val="0"/>
        <w:keepLines/>
        <w:spacing w:after="40"/>
      </w:pPr>
      <w:r/>
    </w:p>
    <w:p>
      <w:pPr>
        <w:keepNext w:val="0"/>
        <w:keepLines/>
      </w:pPr>
      <w:r>
        <w:t>Najbardziej prawdopodobne źródła kosztownej zmiany PCB to A01–A06, A25–A29 oraz A33–A38. Problemy z budżetem uśpienia i HMI są P1, lecz wymagają rozstrzygnięć architektonicznych przed G2. Nie należy odsuwać ich do pierwszej próby terenowej.</w:t>
      </w:r>
    </w:p>
    <w:p>
      <w:bookmarkStart w:id="4" w:name="s4"/>
      <w:pPr>
        <w:pStyle w:val="Heading1"/>
        <w:pageBreakBefore/>
      </w:pPr>
      <w:r>
        <w:t>4 Ustalenia dotyczące zapłonu i bezpieczeństwa</w:t>
      </w:r>
      <w:bookmarkEnd w:id="4"/>
    </w:p>
    <w:p>
      <w:pPr>
        <w:keepNext w:val="0"/>
        <w:keepLines/>
      </w:pPr>
      <w:r>
        <w:t>Pozycje A01–A17 obejmują tor energii, kąta, synchronizacji i odcięcia. Ich ocena opiera się na opisanej architekturze oraz warunkach działania elementów; nie zakłada nieujawnionego schematu.</w:t>
      </w:r>
    </w:p>
    <w:p>
      <w:bookmarkStart w:id="5" w:name="A01"/>
      <w:pPr>
        <w:pStyle w:val="Heading2"/>
      </w:pPr>
      <w:r>
        <w:t>A01 Zgodność stopnia zapłonowego z fabrycznym DC CDI</w:t>
      </w:r>
      <w:bookmarkEnd w:id="5"/>
    </w:p>
    <w:p>
      <w:pPr>
        <w:pStyle w:val="Metadata"/>
        <w:keepNext/>
        <w:keepLines/>
      </w:pPr>
      <w:r>
        <w:t>P0 • Podstawa R • Nowe • Bramka G1 i G2</w:t>
      </w:r>
    </w:p>
    <w:p>
      <w:pPr>
        <w:keepNext w:val="0"/>
        <w:keepLines/>
      </w:pPr>
      <w:r>
        <w:rPr>
          <w:b/>
        </w:rPr>
        <w:t xml:space="preserve">Dowód i ocena </w:t>
      </w:r>
      <w:r>
        <w:t>Instrukcja Beta identyfikuje fabryczny zapłon jako DC-CDI Kokusan. VBG08H-E steruje prądem cewki przez IGBT. Dossier nie określa, czy pozostaje fabryczna cewka, czy projekt przechodzi na zapłon indukcyjny.</w:t>
      </w:r>
    </w:p>
    <w:p>
      <w:pPr>
        <w:keepNext w:val="0"/>
        <w:keepLines/>
      </w:pPr>
      <w:r>
        <w:rPr>
          <w:b/>
        </w:rPr>
        <w:t xml:space="preserve">Skutek </w:t>
      </w:r>
      <w:r>
        <w:t>CDI magazynuje energię w kondensatorze, a zapłon indukcyjny w cewce. Dobór według ogólnej kategorii driver zapłonu nie dowodzi zgodności. Zmiana topologii wpływa na cewkę, energię iskry, rozruch, obciążenie instalacji, EMC i czas ładowania.</w:t>
      </w:r>
    </w:p>
    <w:p>
      <w:pPr>
        <w:keepNext w:val="0"/>
        <w:keepLines/>
      </w:pPr>
      <w:r>
        <w:rPr>
          <w:b/>
        </w:rPr>
        <w:t xml:space="preserve">Zalecenie </w:t>
      </w:r>
      <w:r>
        <w:t>Wybrać świadomie jedną topologię. Dla zachowania CDI zaprojektować odpowiedni tor energii i wyzwalania. Dla zapłonu indukcyjnego dobrać lub scharakteryzować zgodną cewkę i wpisać zmianę do zakresu MVP-A. Nie zakładać zgodności fabrycznej cewki bez danych.</w:t>
      </w:r>
    </w:p>
    <w:p>
      <w:pPr>
        <w:keepNext w:val="0"/>
        <w:keepLines/>
      </w:pPr>
      <w:r>
        <w:rPr>
          <w:b/>
        </w:rPr>
        <w:t xml:space="preserve">Dowód zamknięcia </w:t>
      </w:r>
      <w:r>
        <w:t>Schemat całego toru, numer cewki i jej parametry, bilans energii oraz próby iskry na obciążeniu reprezentującym warunki pracy. Decyzja musi poprzedzać zatwierdzenie strategii ładowania.</w:t>
      </w:r>
    </w:p>
    <w:p>
      <w:pPr>
        <w:pStyle w:val="Evidence"/>
        <w:keepNext w:val="0"/>
        <w:keepLines/>
      </w:pPr>
      <w:r>
        <w:t>Dossier rozdz. 6.1, 6.3, 10 • Źródła S01 s. 23; S02 s. 5, 9</w:t>
      </w:r>
    </w:p>
    <w:p>
      <w:bookmarkStart w:id="6" w:name="A02"/>
      <w:pPr>
        <w:pStyle w:val="Heading2"/>
      </w:pPr>
      <w:r>
        <w:t>A02 Polaryzacja wyłączenia drivera</w:t>
      </w:r>
      <w:bookmarkEnd w:id="6"/>
    </w:p>
    <w:p>
      <w:pPr>
        <w:pStyle w:val="Metadata"/>
        <w:keepNext/>
        <w:keepLines/>
      </w:pPr>
      <w:r>
        <w:t>P0 • Podstawa B • Nowe • Bramka G1 i G2</w:t>
      </w:r>
    </w:p>
    <w:p>
      <w:pPr>
        <w:keepNext w:val="0"/>
        <w:keepLines/>
      </w:pPr>
      <w:r>
        <w:rPr>
          <w:b/>
        </w:rPr>
        <w:t xml:space="preserve">Dowód i ocena </w:t>
      </w:r>
      <w:r>
        <w:t>Dossier przypisuje stan bezpieczny rezystorom ściągającym linię bramkującą EN. W VBG08H-E EN=1 wyłącza, a EN=0 zezwala na pracę.</w:t>
      </w:r>
    </w:p>
    <w:p>
      <w:pPr>
        <w:keepNext w:val="0"/>
        <w:keepLines/>
      </w:pPr>
      <w:r>
        <w:rPr>
          <w:b/>
        </w:rPr>
        <w:t xml:space="preserve">Skutek </w:t>
      </w:r>
      <w:r>
        <w:t>Jeżeli zapis dotyczy bezpośrednio pinu drivera, proponowana polaryzacja jest przeciwna wymaganej. Jeżeli dotyczy wejścia dodatkowego inwertera, dokument pomija element rozstrzygający bezpieczeństwo. Bez schematu nie można przesądzić, że fizyczny układ jest błędny.</w:t>
      </w:r>
    </w:p>
    <w:p>
      <w:pPr>
        <w:keepNext w:val="0"/>
        <w:keepLines/>
      </w:pPr>
      <w:r>
        <w:rPr>
          <w:b/>
        </w:rPr>
        <w:t xml:space="preserve">Zalecenie </w:t>
      </w:r>
      <w:r>
        <w:t>Narysować logikę od resetu i kill switcha do każdego pinu wykonawczego, z nazwą sygnału, polaryzacją i stanem przy braku zasilania. Dla VBG oddzielić INP od EN i sprawdzić margines poziomu wysokiego przy minimalnym napięciu sterowania.</w:t>
      </w:r>
    </w:p>
    <w:p>
      <w:pPr>
        <w:keepNext w:val="0"/>
        <w:keepLines/>
      </w:pPr>
      <w:r>
        <w:rPr>
          <w:b/>
        </w:rPr>
        <w:t xml:space="preserve">Dowód zamknięcia </w:t>
      </w:r>
      <w:r>
        <w:t>Tabela prawdy i pomiar pinów oraz prądu cewki przy resetach, odłączeniu MCU, utracie poszczególnych szyn i zwarciach sygnałów. Korygować zapis nawet wtedy, gdy inwersja już istnieje w schemacie.</w:t>
      </w:r>
    </w:p>
    <w:p>
      <w:pPr>
        <w:pStyle w:val="Evidence"/>
        <w:keepNext w:val="0"/>
        <w:keepLines/>
      </w:pPr>
      <w:r>
        <w:t>Dossier rozdz. 6.2 tabela watchdog i brown-out • Źródła S02 s. 5–6, 8, 12</w:t>
      </w:r>
    </w:p>
    <w:p>
      <w:bookmarkStart w:id="7" w:name="A03"/>
      <w:pPr>
        <w:pStyle w:val="Heading2"/>
      </w:pPr>
      <w:r>
        <w:t>A03 Odcięcie nie może wytwarzać przypadkowej iskry</w:t>
      </w:r>
      <w:bookmarkEnd w:id="7"/>
    </w:p>
    <w:p>
      <w:pPr>
        <w:pStyle w:val="Metadata"/>
        <w:keepNext/>
        <w:keepLines/>
      </w:pPr>
      <w:r>
        <w:t>P0 • Podstawa R • Nowe • Bramka G1 i G3</w:t>
      </w:r>
    </w:p>
    <w:p>
      <w:pPr>
        <w:keepNext w:val="0"/>
        <w:keepLines/>
      </w:pPr>
      <w:r>
        <w:rPr>
          <w:b/>
        </w:rPr>
        <w:t xml:space="preserve">Dowód i ocena </w:t>
      </w:r>
      <w:r>
        <w:t>Rejestr okresu HRTIM ma kasować wyjście ładowania. Driver rozróżnia normalne zakończenie impulsu INP i miękkie rozładowanie przez EN.</w:t>
      </w:r>
    </w:p>
    <w:p>
      <w:pPr>
        <w:keepNext w:val="0"/>
        <w:keepLines/>
      </w:pPr>
      <w:r>
        <w:rPr>
          <w:b/>
        </w:rPr>
        <w:t xml:space="preserve">Skutek </w:t>
      </w:r>
      <w:r>
        <w:t>Nagłe przerwanie prądu podczas ładowania jest mechanizmem wytwarzania iskry. Zatem ograniczenie czasu przez wyzerowanie INP może chronić termicznie, ale jednocześnie zapalić mieszankę pod przypadkowym kątem. Zatrzymanie wału, kill switch i awaria timera wymagają osobnej ścieżki wygaszania energii.</w:t>
      </w:r>
    </w:p>
    <w:p>
      <w:pPr>
        <w:keepNext w:val="0"/>
        <w:keepLines/>
      </w:pPr>
      <w:r>
        <w:rPr>
          <w:b/>
        </w:rPr>
        <w:t xml:space="preserve">Zalecenie </w:t>
      </w:r>
      <w:r>
        <w:t>Rozdzielić zaplanowaną iskrę od awaryjnego rozładowania cewki. Zdefiniować kolejność zmian INP i EN, tak aby awaryjne wyłączenie nie zostało wyprzedzone zboczem wyzwalającym iskrę.</w:t>
      </w:r>
    </w:p>
    <w:p>
      <w:pPr>
        <w:keepNext w:val="0"/>
        <w:keepLines/>
      </w:pPr>
      <w:r>
        <w:rPr>
          <w:b/>
        </w:rPr>
        <w:t xml:space="preserve">Dowód zamknięcia </w:t>
      </w:r>
      <w:r>
        <w:t>Test podczas ładowania w wielu fazach impulsu, z rejestracją prądu pierwotnego i obecności iskry. Sprawdzić reset, timeout, zatrzymanie zegara, kill switch oraz utratę synchronizacji.</w:t>
      </w:r>
    </w:p>
    <w:p>
      <w:pPr>
        <w:pStyle w:val="Evidence"/>
        <w:keepNext w:val="0"/>
        <w:keepLines/>
      </w:pPr>
      <w:r>
        <w:t>Dossier rozdz. 6.2 • Źródła S02 s. 5–6, 19–22</w:t>
      </w:r>
    </w:p>
    <w:p>
      <w:bookmarkStart w:id="8" w:name="A04"/>
      <w:pPr>
        <w:pStyle w:val="Heading2"/>
      </w:pPr>
      <w:r>
        <w:t>A04 Okres HRTIM nie jest niezależnym nadzorem całej awarii</w:t>
      </w:r>
      <w:bookmarkEnd w:id="8"/>
    </w:p>
    <w:p>
      <w:pPr>
        <w:pStyle w:val="Metadata"/>
        <w:keepNext/>
        <w:keepLines/>
      </w:pPr>
      <w:r>
        <w:t>P0 • Podstawa R • Nowe • Bramka G1 i G3</w:t>
      </w:r>
    </w:p>
    <w:p>
      <w:pPr>
        <w:keepNext w:val="0"/>
        <w:keepLines/>
      </w:pPr>
      <w:r>
        <w:rPr>
          <w:b/>
        </w:rPr>
        <w:t xml:space="preserve">Dowód i ocena </w:t>
      </w:r>
      <w:r>
        <w:t>Sufit czasu ładowania określono jako niezależny od firmware, ponieważ realizuje go rejestr okresu tego samego HRTIM, który steruje zapłonem.</w:t>
      </w:r>
    </w:p>
    <w:p>
      <w:pPr>
        <w:keepNext w:val="0"/>
        <w:keepLines/>
      </w:pPr>
      <w:r>
        <w:rPr>
          <w:b/>
        </w:rPr>
        <w:t xml:space="preserve">Skutek </w:t>
      </w:r>
      <w:r>
        <w:t>Mechanizm może działać po zawieszeniu CPU, jeśli zegar i konfiguracja timera pozostają prawidłowe. Nie obejmuje automatycznie zatrzymania zegara, błędnej konfiguracji, nadpisania przez DMA ani ciągłego ponownego wyzwalania. Reset licznika przed końcem okresu może odsunąć zdarzenie końcowe.</w:t>
      </w:r>
    </w:p>
    <w:p>
      <w:pPr>
        <w:keepNext w:val="0"/>
        <w:keepLines/>
      </w:pPr>
      <w:r>
        <w:rPr>
          <w:b/>
        </w:rPr>
        <w:t xml:space="preserve">Zalecenie </w:t>
      </w:r>
      <w:r>
        <w:t>Zdefiniować model usterek i warunki, w których ochrona jest skuteczna. Wykluczyć przedłużanie impulsu przez ponowne wyzwolenie i błędne aktualizacje. Dla zdarzeń poza modelem przewidzieć niezależny czasowo nadzór lub udowodnione ograniczenie energii oraz awaryjne wygaszanie.</w:t>
      </w:r>
    </w:p>
    <w:p>
      <w:pPr>
        <w:keepNext w:val="0"/>
        <w:keepLines/>
      </w:pPr>
      <w:r>
        <w:rPr>
          <w:b/>
        </w:rPr>
        <w:t xml:space="preserve">Dowód zamknięcia </w:t>
      </w:r>
      <w:r>
        <w:t>Wstrzyknięcia zawieszenia CPU, zatrzymania zegara, błędnego okresu i compare, lawiny triggerów, uszkodzenia transferu DMA i serii impulsów. Mierzyć czas ciągłego ładowania oraz moc średnią.</w:t>
      </w:r>
    </w:p>
    <w:p>
      <w:pPr>
        <w:pStyle w:val="Evidence"/>
        <w:keepNext w:val="0"/>
        <w:keepLines/>
      </w:pPr>
      <w:r>
        <w:t>Dossier rozdz. 6.2 • Źródła S08; S09</w:t>
      </w:r>
    </w:p>
    <w:p>
      <w:bookmarkStart w:id="9" w:name="A05"/>
      <w:pPr>
        <w:pStyle w:val="Heading2"/>
      </w:pPr>
      <w:r>
        <w:t>A05 Zakres czasowy szesnastobitowego HRTIM</w:t>
      </w:r>
      <w:bookmarkEnd w:id="9"/>
    </w:p>
    <w:p>
      <w:pPr>
        <w:pStyle w:val="Metadata"/>
        <w:keepNext/>
        <w:keepLines/>
      </w:pPr>
      <w:r>
        <w:t>P0 • Podstawa R • Nowe • Bramka G1 przed zatwierdzeniem C</w:t>
      </w:r>
    </w:p>
    <w:p>
      <w:pPr>
        <w:keepNext w:val="0"/>
        <w:keepLines/>
      </w:pPr>
      <w:r>
        <w:rPr>
          <w:b/>
        </w:rPr>
        <w:t xml:space="preserve">Dowód i ocena </w:t>
      </w:r>
      <w:r>
        <w:t>Dossier nie podaje zegara, preskalera ani maksymalnego reprezentowalnego okresu. AN4539 opisuje 16-bitowe liczniki oraz preskaler do 128.</w:t>
      </w:r>
    </w:p>
    <w:p>
      <w:pPr>
        <w:keepNext w:val="0"/>
        <w:keepLines/>
      </w:pPr>
      <w:r>
        <w:rPr>
          <w:b/>
        </w:rPr>
        <w:t xml:space="preserve">Skutek </w:t>
      </w:r>
      <w:r>
        <w:t>Przy zegarze wejściowym 170 MHz maksymalny zakres jednego okresu wynosi około 1,542 ms. Przy 100 MHz wynosi około 2,621 ms. To obliczenia dla opisanej konfiguracji, nie dowód użycia jej w projekcie. Żądany dwell może przekroczyć ten zakres, zwłaszcza podczas rozruchu przy niskim napięciu.</w:t>
      </w:r>
    </w:p>
    <w:p>
      <w:pPr>
        <w:keepNext w:val="0"/>
        <w:keepLines/>
      </w:pPr>
      <w:r>
        <w:rPr>
          <w:b/>
        </w:rPr>
        <w:t xml:space="preserve">Zalecenie </w:t>
      </w:r>
      <w:r>
        <w:t>Zestawić wymagany minimalny i maksymalny dwell z zakresem timera. Wybrać konfigurację lub inny mechanizm, który obejmuje cały zakres. Sprawdzić działanie bez wysokiej rozdzielczości i ewentualne rozszerzenie czasu bez osłabienia limitu awaryjnego.</w:t>
      </w:r>
    </w:p>
    <w:p>
      <w:pPr>
        <w:keepNext w:val="0"/>
        <w:keepLines/>
      </w:pPr>
      <w:r>
        <w:rPr>
          <w:b/>
        </w:rPr>
        <w:t xml:space="preserve">Dowód zamknięcia </w:t>
      </w:r>
      <w:r>
        <w:t>Tabela zegarów i preskalerów, skrajne wartości rejestrów i pomiar impulsów na granicach zakresu. Uwzględnić inicjalizację DLL i ograniczenia konkretnej rewizji krzemu.</w:t>
      </w:r>
    </w:p>
    <w:p>
      <w:pPr>
        <w:pStyle w:val="Evidence"/>
        <w:keepNext w:val="0"/>
        <w:keepLines/>
      </w:pPr>
      <w:r>
        <w:t>Dossier rozdz. 6.1, 6.2, 8.1 ECU-IGN-003 i 004 • Źródła S08 s. 9, 16; S09 rozdz. 2.11</w:t>
      </w:r>
    </w:p>
    <w:p>
      <w:bookmarkStart w:id="10" w:name="A06"/>
      <w:pPr>
        <w:pStyle w:val="Heading2"/>
      </w:pPr>
      <w:r>
        <w:t>A06 Elektryczny punkt odniesienia nie wynika z geometrii wypustu</w:t>
      </w:r>
      <w:bookmarkEnd w:id="10"/>
    </w:p>
    <w:p>
      <w:pPr>
        <w:pStyle w:val="Metadata"/>
        <w:keepNext/>
        <w:keepLines/>
      </w:pPr>
      <w:r>
        <w:t>P0 • Podstawa R • Nowe • Bramka G1 i ponowny przegląd C.1</w:t>
      </w:r>
    </w:p>
    <w:p>
      <w:pPr>
        <w:keepNext w:val="0"/>
        <w:keepLines/>
      </w:pPr>
      <w:r>
        <w:rPr>
          <w:b/>
        </w:rPr>
        <w:t xml:space="preserve">Dowód i ocena </w:t>
      </w:r>
      <w:r>
        <w:t>Zmierzono geometryczną krawędź natarcia 30° przed GMP. MAX9926 może wyznaczać przejście VR przez zero; jego dokumentacja wiąże taki znacznik z centrum zęba, a nie z geometryczną krawędzią.</w:t>
      </w:r>
    </w:p>
    <w:p>
      <w:pPr>
        <w:keepNext w:val="0"/>
        <w:keepLines/>
      </w:pPr>
      <w:r>
        <w:rPr>
          <w:b/>
        </w:rPr>
        <w:t xml:space="preserve">Skutek </w:t>
      </w:r>
      <w:r>
        <w:t>Najważniejsze założenie obliczeń nie zostało dowiedzione: zbocze używane przez MCU musi rzeczywiście wystąpić pod przyjętym kątem. W prostym modelu symetrycznego wypustu centrum leży około 15° przed GMP. To ilustracja ryzyka, nie ustalenie rzeczywistego kąta w Becie. W takim przypadku część wymaganych iskier musiałaby wystąpić przed bieżącym znacznikiem.</w:t>
      </w:r>
    </w:p>
    <w:p>
      <w:pPr>
        <w:keepNext w:val="0"/>
        <w:keepLines/>
      </w:pPr>
      <w:r>
        <w:rPr>
          <w:b/>
        </w:rPr>
        <w:t xml:space="preserve">Zalecenie </w:t>
      </w:r>
      <w:r>
        <w:t>Zmierzyć równocześnie pozycję wału, analogowy VR i COUT po wybranym kondycjonerze. Określić polaryzację, tryb MAX9926 oraz wykorzystywane zbocze. Dopiero z tego wyprowadzić kąt odniesienia i dopuszczalne wyprzedzenie.</w:t>
      </w:r>
    </w:p>
    <w:p>
      <w:pPr>
        <w:keepNext w:val="0"/>
        <w:keepLines/>
      </w:pPr>
      <w:r>
        <w:rPr>
          <w:b/>
        </w:rPr>
        <w:t xml:space="preserve">Dowód zamknięcia </w:t>
      </w:r>
      <w:r>
        <w:t>Przebiegi z rozruchu i pełnego zakresu obrotów z niezależnym odniesieniem GMP. Wynik musi pokazać offset, rozrzut i wpływ obrotów, temperatury oraz szczeliny.</w:t>
      </w:r>
    </w:p>
    <w:p>
      <w:pPr>
        <w:pStyle w:val="Evidence"/>
        <w:keepNext w:val="0"/>
        <w:keepLines/>
      </w:pPr>
      <w:r>
        <w:t>Dossier rozdz. 6.3 • Źródła S03 s. 12–14</w:t>
      </w:r>
    </w:p>
    <w:p>
      <w:bookmarkStart w:id="11" w:name="A07"/>
      <w:pPr>
        <w:pStyle w:val="Heading2"/>
      </w:pPr>
      <w:r>
        <w:t>A07 Estymaty błędu synchronizacji nie są odtwarzalne</w:t>
      </w:r>
      <w:bookmarkEnd w:id="11"/>
    </w:p>
    <w:p>
      <w:pPr>
        <w:pStyle w:val="Metadata"/>
        <w:keepNext/>
        <w:keepLines/>
      </w:pPr>
      <w:r>
        <w:t>P1 • Podstawa O • Doprecyzowanie • Bramka G1 i G3</w:t>
      </w:r>
    </w:p>
    <w:p>
      <w:pPr>
        <w:keepNext w:val="0"/>
        <w:keepLines/>
      </w:pPr>
      <w:r>
        <w:rPr>
          <w:b/>
        </w:rPr>
        <w:t xml:space="preserve">Dowód i ocena </w:t>
      </w:r>
      <w:r>
        <w:t>Podano 0,20°, 0,05° i 0,02° oraz starzenie estymaty o 5,3%, lecz bez równań modelu, profilu przyspieszenia, danych wejściowych, niepewności pomiaru i metody wyznaczenia GMP.</w:t>
      </w:r>
    </w:p>
    <w:p>
      <w:pPr>
        <w:keepNext w:val="0"/>
        <w:keepLines/>
      </w:pPr>
      <w:r>
        <w:rPr>
          <w:b/>
        </w:rPr>
        <w:t xml:space="preserve">Skutek </w:t>
      </w:r>
      <w:r>
        <w:t>Nie można odtworzyć ani ekstrapolować tych liczb. Korekta przyspieszenia wyznaczonego z poprzednich obrotów nie opisuje automatycznie zmian prędkości wewnątrz pojedynczego obrotu jednocylindrowego silnika. Gwałtowne odciążenie i rozruch mogą być trudniejsze od przyjętego przypadku.</w:t>
      </w:r>
    </w:p>
    <w:p>
      <w:pPr>
        <w:keepNext w:val="0"/>
        <w:keepLines/>
      </w:pPr>
      <w:r>
        <w:rPr>
          <w:b/>
        </w:rPr>
        <w:t xml:space="preserve">Zalecenie </w:t>
      </w:r>
      <w:r>
        <w:t>Udokumentować model wraz z jednostkami i parametrami. Oddzielić wyniki obliczeń od pomiarów. Odtwarzać rzeczywiste niestacjonarne przebiegi z niezależnym enkoderem odniesienia.</w:t>
      </w:r>
    </w:p>
    <w:p>
      <w:pPr>
        <w:keepNext w:val="0"/>
        <w:keepLines/>
      </w:pPr>
      <w:r>
        <w:rPr>
          <w:b/>
        </w:rPr>
        <w:t xml:space="preserve">Dowód zamknięcia </w:t>
      </w:r>
      <w:r>
        <w:t>Plik danych i obliczenia pozwalające odtworzyć tabelę oraz raport błędów w rozruchu, przy pulsacji momentu, odciążeniu, hamowaniu silnikiem i nagłej zmianie obrotów.</w:t>
      </w:r>
    </w:p>
    <w:p>
      <w:pPr>
        <w:pStyle w:val="Evidence"/>
        <w:keepNext w:val="0"/>
        <w:keepLines/>
      </w:pPr>
      <w:r>
        <w:t>Dossier rozdz. 6.3 tabela błędów</w:t>
      </w:r>
    </w:p>
    <w:p>
      <w:bookmarkStart w:id="12" w:name="A08"/>
      <w:pPr>
        <w:pStyle w:val="Heading2"/>
      </w:pPr>
      <w:r>
        <w:t>A08 Percentyl dokładności nie ogranicza niebezpiecznego błędu</w:t>
      </w:r>
      <w:bookmarkEnd w:id="12"/>
    </w:p>
    <w:p>
      <w:pPr>
        <w:pStyle w:val="Metadata"/>
        <w:keepNext/>
        <w:keepLines/>
      </w:pPr>
      <w:r>
        <w:t>P0 • Podstawa B • Nowe • Bramka G0</w:t>
      </w:r>
    </w:p>
    <w:p>
      <w:pPr>
        <w:keepNext w:val="0"/>
        <w:keepLines/>
      </w:pPr>
      <w:r>
        <w:rPr>
          <w:b/>
        </w:rPr>
        <w:t xml:space="preserve">Dowód i ocena </w:t>
      </w:r>
      <w:r>
        <w:t>Jedyny przytoczony budżet dokładności to 1,0° w 99,9 percentylu. Nie podano maksymalnego dopuszczalnego wyprzedzenia rzeczywistej iskry ani sposobu reakcji na przekroczenie.</w:t>
      </w:r>
    </w:p>
    <w:p>
      <w:pPr>
        <w:keepNext w:val="0"/>
        <w:keepLines/>
      </w:pPr>
      <w:r>
        <w:rPr>
          <w:b/>
        </w:rPr>
        <w:t xml:space="preserve">Skutek </w:t>
      </w:r>
      <w:r>
        <w:t>Przy jednej iskrze na obrót i 10 000 obr/min 0,1% zdarzeń odpowiada statystycznie jednemu zdarzeniu co około 6 s. Percentyl nie mówi, czy pozostałe odchylenia wynoszą 1,1° czy 40°. Nie znaczy to, że takie błędy występują; pokazuje niewystarczalność samego kryterium.</w:t>
      </w:r>
    </w:p>
    <w:p>
      <w:pPr>
        <w:keepNext w:val="0"/>
        <w:keepLines/>
      </w:pPr>
      <w:r>
        <w:rPr>
          <w:b/>
        </w:rPr>
        <w:t xml:space="preserve">Zalecenie </w:t>
      </w:r>
      <w:r>
        <w:t>Zachować percentyl jako wskaźnik jakości, a osobno ustalić bezwzględne granice błędu, szczególnie po stronie zbyt wczesnej iskry. Określić strategię przy niepewnej pozycji wału i utracie możliwości dotrzymania terminu.</w:t>
      </w:r>
    </w:p>
    <w:p>
      <w:pPr>
        <w:keepNext w:val="0"/>
        <w:keepLines/>
      </w:pPr>
      <w:r>
        <w:rPr>
          <w:b/>
        </w:rPr>
        <w:t xml:space="preserve">Dowód zamknięcia </w:t>
      </w:r>
      <w:r>
        <w:t>Zatwierdzone wymaganie z granicą i reakcją oraz próby skrajnych błędów, synchronizacji i zakłóceń. Raport musi pokazywać również maksimum, minimum i populację wykluczonych zdarzeń.</w:t>
      </w:r>
    </w:p>
    <w:p>
      <w:pPr>
        <w:pStyle w:val="Evidence"/>
        <w:keepNext w:val="0"/>
        <w:keepLines/>
      </w:pPr>
      <w:r>
        <w:t>Dossier rozdz. 6.3 ECU-IGN-002</w:t>
      </w:r>
    </w:p>
    <w:p>
      <w:bookmarkStart w:id="13" w:name="A09"/>
      <w:pPr>
        <w:pStyle w:val="Heading2"/>
      </w:pPr>
      <w:r>
        <w:t>A09 Limit 28 stopni nie ma pełnego budżetu wykonalności</w:t>
      </w:r>
      <w:bookmarkEnd w:id="13"/>
    </w:p>
    <w:p>
      <w:pPr>
        <w:pStyle w:val="Metadata"/>
        <w:keepNext/>
        <w:keepLines/>
      </w:pPr>
      <w:r>
        <w:t>P1 • Podstawa O • Znane rozszerzone • Bramka G1 i G3</w:t>
      </w:r>
    </w:p>
    <w:p>
      <w:pPr>
        <w:keepNext w:val="0"/>
        <w:keepLines/>
      </w:pPr>
      <w:r>
        <w:rPr>
          <w:b/>
        </w:rPr>
        <w:t xml:space="preserve">Dowód i ocena </w:t>
      </w:r>
      <w:r>
        <w:t>Limit geometryczny 28° pozostawia tylko 2° od założonego odniesienia 30°. Driver podaje typowy czas wyłączenia 25 µs w określonym punkcie pracy.</w:t>
      </w:r>
    </w:p>
    <w:p>
      <w:pPr>
        <w:keepNext w:val="0"/>
        <w:keepLines/>
      </w:pPr>
      <w:r>
        <w:rPr>
          <w:b/>
        </w:rPr>
        <w:t xml:space="preserve">Skutek </w:t>
      </w:r>
      <w:r>
        <w:t>Przy 10 000 obr/min margines 2° to 33,33 µs. Sam wskazany czas drivera odpowiada 1,5°. Opóźnienie stałe można kompensować, ale jego rozrzut i pozostałe opóźnienia muszą zmieścić się w budżecie. Po korekcie rzeczywistego znacznika VR cały limit może wymagać zmiany.</w:t>
      </w:r>
    </w:p>
    <w:p>
      <w:pPr>
        <w:keepNext w:val="0"/>
        <w:keepLines/>
      </w:pPr>
      <w:r>
        <w:rPr>
          <w:b/>
        </w:rPr>
        <w:t xml:space="preserve">Zalecenie </w:t>
      </w:r>
      <w:r>
        <w:t>Wyznaczać granicę wykonalności z mierzonego znacznika, najgorszej latencji toru, czasu obliczenia i niepewności. Walidacja map ma odrzucać punkty wymagające polecenia z przeszłości. Odseparować tę granicę od zweryfikowanej granicy spalania.</w:t>
      </w:r>
    </w:p>
    <w:p>
      <w:pPr>
        <w:keepNext w:val="0"/>
        <w:keepLines/>
      </w:pPr>
      <w:r>
        <w:rPr>
          <w:b/>
        </w:rPr>
        <w:t xml:space="preserve">Dowód zamknięcia </w:t>
      </w:r>
      <w:r>
        <w:t>Budżet od znacznika do rzeczywistej iskry, z kompensacją i rozrzutem w funkcji obrotów, napięcia, prądu oraz temperatury. Próby przy granicznym wyprzedzeniu.</w:t>
      </w:r>
    </w:p>
    <w:p>
      <w:pPr>
        <w:pStyle w:val="Evidence"/>
        <w:keepNext w:val="0"/>
        <w:keepLines/>
      </w:pPr>
      <w:r>
        <w:t>Dossier rozdz. 6.3, 9.2 • Źródła S02 s. 12</w:t>
      </w:r>
    </w:p>
    <w:p>
      <w:bookmarkStart w:id="14" w:name="A10"/>
      <w:pPr>
        <w:pStyle w:val="Heading2"/>
      </w:pPr>
      <w:r>
        <w:t>A10 Planowanie początku ładowania obejmuje dłuższy horyzont</w:t>
      </w:r>
      <w:bookmarkEnd w:id="14"/>
    </w:p>
    <w:p>
      <w:pPr>
        <w:pStyle w:val="Metadata"/>
        <w:keepNext/>
        <w:keepLines/>
      </w:pPr>
      <w:r>
        <w:t>P1 • Podstawa R • Nowe • Bramka Zamknięcie C i G3</w:t>
      </w:r>
    </w:p>
    <w:p>
      <w:pPr>
        <w:keepNext w:val="0"/>
        <w:keepLines/>
      </w:pPr>
      <w:r>
        <w:rPr>
          <w:b/>
        </w:rPr>
        <w:t xml:space="preserve">Dowód i ocena </w:t>
      </w:r>
      <w:r>
        <w:t>Dossier uzasadnia krótki horyzont prognozy położenia iskry wynoszący 10–20°. Nie przedstawia analogicznego dowodu dla początku ładowania cewki.</w:t>
      </w:r>
    </w:p>
    <w:p>
      <w:pPr>
        <w:keepNext w:val="0"/>
        <w:keepLines/>
      </w:pPr>
      <w:r>
        <w:rPr>
          <w:b/>
        </w:rPr>
        <w:t xml:space="preserve">Skutek </w:t>
      </w:r>
      <w:r>
        <w:t>Przykładowy dwell 2 ms przy 10 000 obr/min odpowiada 120° wału. Przy iskrze 15° przed GMP ładowanie zaczyna się 135° przed GMP, znacznie wcześniej niż wypust opisany jako 30°. Wartość 2 ms jest przykładem obliczeniowym, nie nastawą dla fabrycznej cewki. Początek ładowania wymaga zatem osobnej predykcji.</w:t>
      </w:r>
    </w:p>
    <w:p>
      <w:pPr>
        <w:keepNext w:val="0"/>
        <w:keepLines/>
      </w:pPr>
      <w:r>
        <w:rPr>
          <w:b/>
        </w:rPr>
        <w:t xml:space="preserve">Zalecenie </w:t>
      </w:r>
      <w:r>
        <w:t>Opisać odrębnie harmonogram początku ładowania i moment zakończenia. Po nadejściu nowego znacznika dopuszczać korektę tylko według reguł ograniczających energię, długość impulsu i ryzyko przypadkowej iskry.</w:t>
      </w:r>
    </w:p>
    <w:p>
      <w:pPr>
        <w:keepNext w:val="0"/>
        <w:keepLines/>
      </w:pPr>
      <w:r>
        <w:rPr>
          <w:b/>
        </w:rPr>
        <w:t xml:space="preserve">Dowód zamknięcia </w:t>
      </w:r>
      <w:r>
        <w:t>Symulacja i przebiegi przy gwałtownym przyspieszeniu oraz hamowaniu, także gdy planowany początek lub koniec impulsu staje się przeszły. Weryfikować zarówno kąt, jak i energię.</w:t>
      </w:r>
    </w:p>
    <w:p>
      <w:pPr>
        <w:pStyle w:val="Evidence"/>
        <w:keepNext w:val="0"/>
        <w:keepLines/>
      </w:pPr>
      <w:r>
        <w:t>Dossier rozdz. 6.3, 10</w:t>
      </w:r>
    </w:p>
    <w:p>
      <w:bookmarkStart w:id="15" w:name="A11"/>
      <w:pPr>
        <w:pStyle w:val="Heading2"/>
      </w:pPr>
      <w:r>
        <w:t>A11 Synchronizacja musi obejmować rozruch i ruch wsteczny</w:t>
      </w:r>
      <w:bookmarkEnd w:id="15"/>
    </w:p>
    <w:p>
      <w:pPr>
        <w:pStyle w:val="Metadata"/>
        <w:keepNext/>
        <w:keepLines/>
      </w:pPr>
      <w:r>
        <w:t>P0 • Podstawa O • Znane rozszerzone • Bramka Zamknięcie C i G3</w:t>
      </w:r>
    </w:p>
    <w:p>
      <w:pPr>
        <w:keepNext w:val="0"/>
        <w:keepLines/>
      </w:pPr>
      <w:r>
        <w:rPr>
          <w:b/>
        </w:rPr>
        <w:t xml:space="preserve">Dowód i ocena </w:t>
      </w:r>
      <w:r>
        <w:t>Jeden wypust nie daje gotowej informacji o prędkości i kierunku po pierwszym zboczu. Strategia rozruchu pozostaje otwarta.</w:t>
      </w:r>
    </w:p>
    <w:p>
      <w:pPr>
        <w:keepNext w:val="0"/>
        <w:keepLines/>
      </w:pPr>
      <w:r>
        <w:rPr>
          <w:b/>
        </w:rPr>
        <w:t xml:space="preserve">Skutek </w:t>
      </w:r>
      <w:r>
        <w:t>Warunki nieobserwowane przed pierwszym poprawnym pomiarem obejmują odbicie wału, cofnięcie przy kompresji, kickback, zatrzymanie w wypuście i ponowny rozruch bez pełnego wyłączenia. DIRN w dwukanałowym MAX9926 nie zapewnia sam z siebie kierunku przy jednym czujniku.</w:t>
      </w:r>
    </w:p>
    <w:p>
      <w:pPr>
        <w:keepNext w:val="0"/>
        <w:keepLines/>
      </w:pPr>
      <w:r>
        <w:rPr>
          <w:b/>
        </w:rPr>
        <w:t xml:space="preserve">Zalecenie </w:t>
      </w:r>
      <w:r>
        <w:t>Zdefiniować stany UNSYNC, ACQUIRE, SYNC i utraty synchronizacji, z precyzyjnymi warunkami dopuszczenia ładowania oraz iskry. Ustalić zachowanie po pierwszym zboczu bez poprzedniego okresu i dla każdego scenariusza ruchu wstecznego.</w:t>
      </w:r>
    </w:p>
    <w:p>
      <w:pPr>
        <w:keepNext w:val="0"/>
        <w:keepLines/>
      </w:pPr>
      <w:r>
        <w:rPr>
          <w:b/>
        </w:rPr>
        <w:t xml:space="preserve">Dowód zamknięcia </w:t>
      </w:r>
      <w:r>
        <w:t>Rejestr pierwszych iskier względem wału dla startów z różnych pozycji, bardzo wolnego obracania, cofnięcia i chwilowego zaniku VR. Brak nieplanowanej iskry musi być osobnym kryterium.</w:t>
      </w:r>
    </w:p>
    <w:p>
      <w:pPr>
        <w:pStyle w:val="Evidence"/>
        <w:keepNext w:val="0"/>
        <w:keepLines/>
      </w:pPr>
      <w:r>
        <w:t>Dossier rozdz. 6.3, 10 krok 1 • Źródła S03 s. 12</w:t>
      </w:r>
    </w:p>
    <w:p>
      <w:bookmarkStart w:id="16" w:name="A12"/>
      <w:pPr>
        <w:pStyle w:val="Heading2"/>
      </w:pPr>
      <w:r>
        <w:t>A12 Bramkowanie kątowe wymaga odzyskania synchronizacji</w:t>
      </w:r>
      <w:bookmarkEnd w:id="16"/>
    </w:p>
    <w:p>
      <w:pPr>
        <w:pStyle w:val="Metadata"/>
        <w:keepNext/>
        <w:keepLines/>
      </w:pPr>
      <w:r>
        <w:t>P1 • Podstawa R • Znane rozszerzone • Bramka G1 i G3</w:t>
      </w:r>
    </w:p>
    <w:p>
      <w:pPr>
        <w:keepNext w:val="0"/>
        <w:keepLines/>
      </w:pPr>
      <w:r>
        <w:rPr>
          <w:b/>
        </w:rPr>
        <w:t xml:space="preserve">Dowód i ocena </w:t>
      </w:r>
      <w:r>
        <w:t>Dossier deklaruje odrzucanie zbocza poza oknem bez utraty iskry. Okna ±10° i ±20° przyjęto bez danych o zakłóceniach.</w:t>
      </w:r>
    </w:p>
    <w:p>
      <w:pPr>
        <w:keepNext w:val="0"/>
        <w:keepLines/>
      </w:pPr>
      <w:r>
        <w:rPr>
          <w:b/>
        </w:rPr>
        <w:t xml:space="preserve">Skutek </w:t>
      </w:r>
      <w:r>
        <w:t>Błędne zbocze wewnątrz okna może zatruć model. Prawdziwe zbocze po gwałtownej zmianie obrotów może wypaść poza oknem, a kolejne być już stale odrzucane. Gwarancja braku utraty iskry dla dowolnych zakłóceń jest zbyt mocna.</w:t>
      </w:r>
    </w:p>
    <w:p>
      <w:pPr>
        <w:keepNext w:val="0"/>
        <w:keepLines/>
      </w:pPr>
      <w:r>
        <w:rPr>
          <w:b/>
        </w:rPr>
        <w:t xml:space="preserve">Zalecenie </w:t>
      </w:r>
      <w:r>
        <w:t>Opisać akceptację znacznika, odrzucanie, potwierdzanie okresu, timeout i kontrolowane ponowne zdobycie synchronizacji. Okno powiązać z dopuszczalną dynamiką wału oraz stanem synchronizacji, a nie jedynie z nominalnym kątem.</w:t>
      </w:r>
    </w:p>
    <w:p>
      <w:pPr>
        <w:keepNext w:val="0"/>
        <w:keepLines/>
      </w:pPr>
      <w:r>
        <w:rPr>
          <w:b/>
        </w:rPr>
        <w:t xml:space="preserve">Dowód zamknięcia </w:t>
      </w:r>
      <w:r>
        <w:t>Zakłócenia wewnątrz i poza oknem, brak impulsu, impuls podwójny, zmiana prędkości i narastająca lawina wejść. Ocenić czas powrotu oraz zachowanie zapłonu podczas utraty zaufania.</w:t>
      </w:r>
    </w:p>
    <w:p>
      <w:pPr>
        <w:pStyle w:val="Evidence"/>
        <w:keepNext w:val="0"/>
        <w:keepLines/>
      </w:pPr>
      <w:r>
        <w:t>Dossier rozdz. 6.3, 9.2</w:t>
      </w:r>
    </w:p>
    <w:p>
      <w:bookmarkStart w:id="17" w:name="A13"/>
      <w:pPr>
        <w:pStyle w:val="Heading2"/>
      </w:pPr>
      <w:r>
        <w:t>A13 Dwell i diagnostyka prądu nie zastępują charakterystyki cewki</w:t>
      </w:r>
      <w:bookmarkEnd w:id="17"/>
    </w:p>
    <w:p>
      <w:pPr>
        <w:pStyle w:val="Metadata"/>
        <w:keepNext/>
        <w:keepLines/>
      </w:pPr>
      <w:r>
        <w:t>P1 • Podstawa O • Nowe • Bramka Zamknięcie C i G2</w:t>
      </w:r>
    </w:p>
    <w:p>
      <w:pPr>
        <w:keepNext w:val="0"/>
        <w:keepLines/>
      </w:pPr>
      <w:r>
        <w:rPr>
          <w:b/>
        </w:rPr>
        <w:t xml:space="preserve">Dowód i ocena </w:t>
      </w:r>
      <w:r>
        <w:t>VBG udostępnia flagę osiągnięcia progu prądu, a nie ciągły pomiar całej charakterystyki ładowania. Maksymalne wypełnienie i korekta napięciowa są otwarte.</w:t>
      </w:r>
    </w:p>
    <w:p>
      <w:pPr>
        <w:keepNext w:val="0"/>
        <w:keepLines/>
      </w:pPr>
      <w:r>
        <w:rPr>
          <w:b/>
        </w:rPr>
        <w:t xml:space="preserve">Skutek </w:t>
      </w:r>
      <w:r>
        <w:t>Sama flaga nie dowodzi energii iskry ani nie odróżnia wszystkich uszkodzeń cewki, przewodu i świecy. Zmniejszenie liczby iskier przez ogranicznik nie ogranicza automatycznie energii pojedynczego impulsu. Odcięcie paliwa nie jest dostępne w MVP-A z gaźnikiem.</w:t>
      </w:r>
    </w:p>
    <w:p>
      <w:pPr>
        <w:keepNext w:val="0"/>
        <w:keepLines/>
      </w:pPr>
      <w:r>
        <w:rPr>
          <w:b/>
        </w:rPr>
        <w:t xml:space="preserve">Zalecenie </w:t>
      </w:r>
      <w:r>
        <w:t>Wyznaczyć charakterystykę cewki, wymagany prąd, czas ładowania, maksymalną moc średnią i dopuszczalną strategię ogranicznika. Ustalić, które uszkodzenia rzeczywiście można wykryć posiadanymi sygnałami.</w:t>
      </w:r>
    </w:p>
    <w:p>
      <w:pPr>
        <w:keepNext w:val="0"/>
        <w:keepLines/>
      </w:pPr>
      <w:r>
        <w:rPr>
          <w:b/>
        </w:rPr>
        <w:t xml:space="preserve">Dowód zamknięcia </w:t>
      </w:r>
      <w:r>
        <w:t>Pomiary prądu, energii i temperatury w skrajnych napięciach i obrotach oraz z otwartym, zwartym i częściowo uszkodzonym obciążeniem. Zweryfikować limiter wraz z następstwami dla wydechu i pracy silnika.</w:t>
      </w:r>
    </w:p>
    <w:p>
      <w:pPr>
        <w:pStyle w:val="Evidence"/>
        <w:keepNext w:val="0"/>
        <w:keepLines/>
      </w:pPr>
      <w:r>
        <w:t>Dossier rozdz. 6.1, 8.1, 10 • Źródła S02 s. 5, 12</w:t>
      </w:r>
    </w:p>
    <w:p>
      <w:bookmarkStart w:id="18" w:name="A14"/>
      <w:pPr>
        <w:pStyle w:val="Heading2"/>
      </w:pPr>
      <w:r>
        <w:t>A14 Watchdog musi potwierdzać zdrowie funkcji</w:t>
      </w:r>
      <w:bookmarkEnd w:id="18"/>
    </w:p>
    <w:p>
      <w:pPr>
        <w:pStyle w:val="Metadata"/>
        <w:keepNext/>
        <w:keepLines/>
      </w:pPr>
      <w:r>
        <w:t>P0 • Podstawa R • Nowe • Bramka G1 i G3</w:t>
      </w:r>
    </w:p>
    <w:p>
      <w:pPr>
        <w:keepNext w:val="0"/>
        <w:keepLines/>
      </w:pPr>
      <w:r>
        <w:rPr>
          <w:b/>
        </w:rPr>
        <w:t xml:space="preserve">Dowód i ocena </w:t>
      </w:r>
      <w:r>
        <w:t>Podano okno około 100 ms, lecz bez źródła obsługi WDI, kryteriów zdrowia zadań i pełnego czasu reakcji. TPS3430-Q1 ma tolerancje okna oraz możliwość wyłączenia nadzoru.</w:t>
      </w:r>
    </w:p>
    <w:p>
      <w:pPr>
        <w:keepNext w:val="0"/>
        <w:keepLines/>
      </w:pPr>
      <w:r>
        <w:rPr>
          <w:b/>
        </w:rPr>
        <w:t xml:space="preserve">Skutek </w:t>
      </w:r>
      <w:r>
        <w:t>Przerwanie lub timer mogą nadal obsługiwać WDI przy martwej logice zapłonu. W 100 ms przy 10 000 obr/min wał wykonuje 16,67 obrotu. Taki czas nie zastępuje ochrony pojedynczego impulsu. Przy zaniku zasilania watchdog nie gwarantuje poprawnego WDO w całym zakresie napięć.</w:t>
      </w:r>
    </w:p>
    <w:p>
      <w:pPr>
        <w:keepNext w:val="0"/>
        <w:keepLines/>
      </w:pPr>
      <w:r>
        <w:rPr>
          <w:b/>
        </w:rPr>
        <w:t xml:space="preserve">Zalecenie </w:t>
      </w:r>
      <w:r>
        <w:t>Obsługiwać WDI po sprawdzeniu postępu funkcji krytycznych. Zdefiniować całkowity czas wykrycia i wygaszenia, nadzór napięcia oraz bezpieczne stany przed poprawną inicjalizacją. Uniemożliwić utrzymywanie silnika w pracy z wyłączonym nadzorem.</w:t>
      </w:r>
    </w:p>
    <w:p>
      <w:pPr>
        <w:keepNext w:val="0"/>
        <w:keepLines/>
      </w:pPr>
      <w:r>
        <w:rPr>
          <w:b/>
        </w:rPr>
        <w:t xml:space="preserve">Dowód zamknięcia </w:t>
      </w:r>
      <w:r>
        <w:t>Awaria każdego zadania z osobna, działające przerwania przy zawieszeniu aplikacji, błędny zegar, zbyt wczesne WDI oraz brak WDI. Rejestrować rzeczywisty czas i energię do stanu bezpiecznego.</w:t>
      </w:r>
    </w:p>
    <w:p>
      <w:pPr>
        <w:pStyle w:val="Evidence"/>
        <w:keepNext w:val="0"/>
        <w:keepLines/>
      </w:pPr>
      <w:r>
        <w:t>Dossier rozdz. 6.1, 6.2 • Źródła S04 s. 6–7, 11–16</w:t>
      </w:r>
    </w:p>
    <w:p>
      <w:bookmarkStart w:id="19" w:name="A15"/>
      <w:pPr>
        <w:pStyle w:val="Heading2"/>
      </w:pPr>
      <w:r>
        <w:t>A15 Zatrzask K4 przy uszkodzonym pomiarze obrotów</w:t>
      </w:r>
      <w:bookmarkEnd w:id="19"/>
    </w:p>
    <w:p>
      <w:pPr>
        <w:pStyle w:val="Metadata"/>
        <w:keepNext/>
        <w:keepLines/>
      </w:pPr>
      <w:r>
        <w:t>P0 • Podstawa R • Nowe • Bramka G1 i G3</w:t>
      </w:r>
    </w:p>
    <w:p>
      <w:pPr>
        <w:keepNext w:val="0"/>
        <w:keepLines/>
      </w:pPr>
      <w:r>
        <w:rPr>
          <w:b/>
        </w:rPr>
        <w:t xml:space="preserve">Dowód i ocena </w:t>
      </w:r>
      <w:r>
        <w:t>Odblokowanie K4 wymaga zatrzymania wału, a jedną z przyczyn K4 jest utrata sygnału obrotów. Nie opisano, jak wykazać zatrzymanie przy niesprawnym sygnale.</w:t>
      </w:r>
    </w:p>
    <w:p>
      <w:pPr>
        <w:keepNext w:val="0"/>
        <w:keepLines/>
      </w:pPr>
      <w:r>
        <w:rPr>
          <w:b/>
        </w:rPr>
        <w:t xml:space="preserve">Skutek </w:t>
      </w:r>
      <w:r>
        <w:t>Brak impulsów może znaczyć stojący wał lub obracający się wał z uszkodzonym czujnikiem. Uznanie obu za zero pozwala odblokować zapłon podczas ruchu. Zatrzask w RAM może dodatkowo zostać utracony przy resecie lub odłączeniu akumulatora.</w:t>
      </w:r>
    </w:p>
    <w:p>
      <w:pPr>
        <w:keepNext w:val="0"/>
        <w:keepLines/>
      </w:pPr>
      <w:r>
        <w:rPr>
          <w:b/>
        </w:rPr>
        <w:t xml:space="preserve">Zalecenie </w:t>
      </w:r>
      <w:r>
        <w:t>Rozdzielić potwierdzone zero i brak wiarygodnego pomiaru. Dla drugiego przypadku zdefiniować procedurę ponownego uzbrojenia, która nie opiera się na domniemanym zerze. Określić trwałość informacji o blokadzie i zachowanie po każdym rodzaju resetu.</w:t>
      </w:r>
    </w:p>
    <w:p>
      <w:pPr>
        <w:keepNext w:val="0"/>
        <w:keepLines/>
      </w:pPr>
      <w:r>
        <w:rPr>
          <w:b/>
        </w:rPr>
        <w:t xml:space="preserve">Dowód zamknięcia </w:t>
      </w:r>
      <w:r>
        <w:t>Uszkodzony czujnik przy obracającym się wale, reset w K4, odłączenie zasilania i przycisk odblokowania stale wciśnięty. Sprawdzić, że świeża świadoma czynność kierowcy jest konieczna.</w:t>
      </w:r>
    </w:p>
    <w:p>
      <w:pPr>
        <w:pStyle w:val="Evidence"/>
        <w:keepNext w:val="0"/>
        <w:keepLines/>
      </w:pPr>
      <w:r>
        <w:t>Dossier rozdz. 6.2, 7.2 F-005, 11 DOC-009</w:t>
      </w:r>
    </w:p>
    <w:p>
      <w:bookmarkStart w:id="20" w:name="A16"/>
      <w:pPr>
        <w:pStyle w:val="Heading2"/>
      </w:pPr>
      <w:r>
        <w:t>A16 Trzy poziomy kill switcha wymagają całej analizy usterek</w:t>
      </w:r>
      <w:bookmarkEnd w:id="20"/>
    </w:p>
    <w:p>
      <w:pPr>
        <w:pStyle w:val="Metadata"/>
        <w:keepNext/>
        <w:keepLines/>
      </w:pPr>
      <w:r>
        <w:t>P1 • Podstawa R • Znane rozszerzone • Bramka G1 i G2</w:t>
      </w:r>
    </w:p>
    <w:p>
      <w:pPr>
        <w:keepNext w:val="0"/>
        <w:keepLines/>
      </w:pPr>
      <w:r>
        <w:rPr>
          <w:b/>
        </w:rPr>
        <w:t xml:space="preserve">Dowód i ocena </w:t>
      </w:r>
      <w:r>
        <w:t>Sprzętowy komparator ma niezależnie bramkować EN. Diagnostyka trzech poziomów odbywa się przez ADC, a konkretny komparator nie został wybrany.</w:t>
      </w:r>
    </w:p>
    <w:p>
      <w:pPr>
        <w:keepNext w:val="0"/>
        <w:keepLines/>
      </w:pPr>
      <w:r>
        <w:rPr>
          <w:b/>
        </w:rPr>
        <w:t xml:space="preserve">Skutek </w:t>
      </w:r>
      <w:r>
        <w:t>Jeden próg nie rozróżnia automatycznie wszystkich stanów przerwy, zwarcia do masy i zwarcia do zasilania. Rezystor lub zasilanie wspólne dla MCU, ADC i komparatora tworzą wspólną przyczynę awarii. Niezależność od programu nie oznacza niezależności od awarii elektrycznych.</w:t>
      </w:r>
    </w:p>
    <w:p>
      <w:pPr>
        <w:keepNext w:val="0"/>
        <w:keepLines/>
      </w:pPr>
      <w:r>
        <w:rPr>
          <w:b/>
        </w:rPr>
        <w:t xml:space="preserve">Zalecenie </w:t>
      </w:r>
      <w:r>
        <w:t>Zbudować tabelę każdego uszkodzenia przewodu, przycisku, rezystora i zasilania. Dobrać okno lub inną logikę do tej tabeli, tolerancji i wymaganego czasu reakcji. Określić reakcję na uszkodzenie samego komparatora.</w:t>
      </w:r>
    </w:p>
    <w:p>
      <w:pPr>
        <w:keepNext w:val="0"/>
        <w:keepLines/>
      </w:pPr>
      <w:r>
        <w:rPr>
          <w:b/>
        </w:rPr>
        <w:t xml:space="preserve">Dowód zamknięcia </w:t>
      </w:r>
      <w:r>
        <w:t>Przemiatanie napięcia i temperatury, tolerancje elementów, pojedyncze zwarcia i przerwy, awaria szyny oraz zawieszenie MCU. Potwierdzić odcięcie, rozróżnienie stanów i odporność na fałszywe zatrzymanie.</w:t>
      </w:r>
    </w:p>
    <w:p>
      <w:pPr>
        <w:pStyle w:val="Evidence"/>
        <w:keepNext w:val="0"/>
        <w:keepLines/>
      </w:pPr>
      <w:r>
        <w:t>Dossier rozdz. 6.2, 8.1 ECU-SAF-001</w:t>
      </w:r>
    </w:p>
    <w:p>
      <w:bookmarkStart w:id="21" w:name="A17"/>
      <w:pPr>
        <w:pStyle w:val="Heading2"/>
      </w:pPr>
      <w:r>
        <w:t>A17 Lista siedmiu zatrzymań wymaga uzasadnienia zagrożeniami</w:t>
      </w:r>
      <w:bookmarkEnd w:id="21"/>
    </w:p>
    <w:p>
      <w:pPr>
        <w:pStyle w:val="Metadata"/>
        <w:keepNext/>
        <w:keepLines/>
      </w:pPr>
      <w:r>
        <w:t>P1 • Podstawa O • Nowe • Bramka G0 i G1</w:t>
      </w:r>
    </w:p>
    <w:p>
      <w:pPr>
        <w:keepNext w:val="0"/>
        <w:keepLines/>
      </w:pPr>
      <w:r>
        <w:rPr>
          <w:b/>
        </w:rPr>
        <w:t xml:space="preserve">Dowód i ocena </w:t>
      </w:r>
      <w:r>
        <w:t>Zamkniętej listy siedmiu zdarzeń nie przytoczono. Uzasadnienie ograniczonego prawa ECU do gaszenia jest jakościowe.</w:t>
      </w:r>
    </w:p>
    <w:p>
      <w:pPr>
        <w:keepNext w:val="0"/>
        <w:keepLines/>
      </w:pPr>
      <w:r>
        <w:rPr>
          <w:b/>
        </w:rPr>
        <w:t xml:space="preserve">Skutek </w:t>
      </w:r>
      <w:r>
        <w:t>Nie da się sprawdzić kompletności ani właściwych reakcji. Ograniczanie zbędnych zatrzymań jest rozsądne, ale nie uzasadnia dalszej pracy przy każdej usterce. Przy zwarciu elementu wykonawczego sam sygnał sterujący może nie wystarczyć do odcięcia energii.</w:t>
      </w:r>
    </w:p>
    <w:p>
      <w:pPr>
        <w:keepNext w:val="0"/>
        <w:keepLines/>
      </w:pPr>
      <w:r>
        <w:rPr>
          <w:b/>
        </w:rPr>
        <w:t xml:space="preserve">Zalecenie </w:t>
      </w:r>
      <w:r>
        <w:t>Dla MVP-A sporządzić analizę niezamierzonego zapłonu, utraty napędu, rozruchu, przegrzania i awarii odcięcia. Przypisać każdemu zagrożeniu wykrywanie, reakcję, maksymalny czas oraz przypadki fałszywego zadziałania. Osobno ocenić uszkodzenia zwarte.</w:t>
      </w:r>
    </w:p>
    <w:p>
      <w:pPr>
        <w:keepNext w:val="0"/>
        <w:keepLines/>
      </w:pPr>
      <w:r>
        <w:rPr>
          <w:b/>
        </w:rPr>
        <w:t xml:space="preserve">Dowód zamknięcia </w:t>
      </w:r>
      <w:r>
        <w:t>Zatwierdzona macierz zagrożenie–mechanizm–dowód, z pełną listą zatrzymań. Nie narzucać certyfikacji, lecz zapewnić proporcjonalny do ryzyka zapis decyzji i dowody jej skuteczności.</w:t>
      </w:r>
    </w:p>
    <w:p>
      <w:pPr>
        <w:pStyle w:val="Evidence"/>
        <w:keepNext w:val="0"/>
        <w:keepLines/>
      </w:pPr>
      <w:r>
        <w:t>Dossier rozdz. 6.2, 9.3</w:t>
      </w:r>
    </w:p>
    <w:p>
      <w:bookmarkStart w:id="22" w:name="s5"/>
      <w:pPr>
        <w:pStyle w:val="Heading1"/>
      </w:pPr>
      <w:r>
        <w:t>5 Ustalenia dotyczące sprzętu i funkcji</w:t>
      </w:r>
      <w:bookmarkEnd w:id="22"/>
    </w:p>
    <w:p>
      <w:pPr>
        <w:keepNext w:val="0"/>
        <w:keepLines/>
      </w:pPr>
      <w:r>
        <w:t>Pozycje A18–A40 obejmują reakcje na usterki, aktualizacje, zasilanie, HMI, sensory, wiązkę i protokoły. Kwalifikacja układu, jego nominalna funkcja i przydatność w konkretnym ECU są odrębnymi pytaniami.</w:t>
      </w:r>
    </w:p>
    <w:p>
      <w:bookmarkStart w:id="23" w:name="A18"/>
      <w:pPr>
        <w:pStyle w:val="Heading2"/>
      </w:pPr>
      <w:r>
        <w:t>A18 Szyna 5 V w MVP A nie jest sygnałem obciążenia</w:t>
      </w:r>
      <w:bookmarkEnd w:id="23"/>
    </w:p>
    <w:p>
      <w:pPr>
        <w:pStyle w:val="Metadata"/>
        <w:keepNext/>
        <w:keepLines/>
      </w:pPr>
      <w:r>
        <w:t>P1 • Podstawa B • Nowe po korekcie TPS • Bramka Zamknięcie B i C</w:t>
      </w:r>
    </w:p>
    <w:p>
      <w:pPr>
        <w:keepNext w:val="0"/>
        <w:keepLines/>
      </w:pPr>
      <w:r>
        <w:rPr>
          <w:b/>
        </w:rPr>
        <w:t xml:space="preserve">Dowód i ocena </w:t>
      </w:r>
      <w:r>
        <w:t>Po usunięciu TPS przypadek szyny 5 V pozostał w grupie utraty sygnału obciążenia, chociaż mapa MVP-A zależy tylko od obrotów.</w:t>
      </w:r>
    </w:p>
    <w:p>
      <w:pPr>
        <w:keepNext w:val="0"/>
        <w:keepLines/>
      </w:pPr>
      <w:r>
        <w:rPr>
          <w:b/>
        </w:rPr>
        <w:t xml:space="preserve">Skutek </w:t>
      </w:r>
      <w:r>
        <w:t>To pozostałość klasyfikacji wariantu z wtryskiem. Spadek 5 V może jednocześnie zakłócić kondycjoner VR, czujnik biegu lub inne pomiary. Cofnięcie zapłonu i limit 3500 obr/min nie dowodzą, że pozostała informacja o kącie jest nadal wiarygodna.</w:t>
      </w:r>
    </w:p>
    <w:p>
      <w:pPr>
        <w:keepNext w:val="0"/>
        <w:keepLines/>
      </w:pPr>
      <w:r>
        <w:rPr>
          <w:b/>
        </w:rPr>
        <w:t xml:space="preserve">Zalecenie </w:t>
      </w:r>
      <w:r>
        <w:t>Przenieść ten przypadek do awarii domeny zasilania. Dla każdego zakresu napięcia wskazać, które elementy nadal pracują w gwarantowanych warunkach. Reakcję wyznaczyć z utraconych funkcji, szczególnie wiarygodności synchronizacji.</w:t>
      </w:r>
    </w:p>
    <w:p>
      <w:pPr>
        <w:keepNext w:val="0"/>
        <w:keepLines/>
      </w:pPr>
      <w:r>
        <w:rPr>
          <w:b/>
        </w:rPr>
        <w:t xml:space="preserve">Dowód zamknięcia </w:t>
      </w:r>
      <w:r>
        <w:t>Analiza progów pracy wszystkich odbiorników oraz test przy obniżaniu, falowaniu i skokach 5 V. Skorygować mapę usterek, CAN i komunikaty HMI dla MVP-A.</w:t>
      </w:r>
    </w:p>
    <w:p>
      <w:pPr>
        <w:pStyle w:val="Evidence"/>
        <w:keepNext w:val="0"/>
        <w:keepLines/>
      </w:pPr>
      <w:r>
        <w:t>Dossier rozdz. 6.4, 9.0.1 grupa G3</w:t>
      </w:r>
    </w:p>
    <w:p>
      <w:bookmarkStart w:id="24" w:name="A19"/>
      <w:pPr>
        <w:pStyle w:val="Heading2"/>
      </w:pPr>
      <w:r>
        <w:t>A19 Ograniczenie obrotów nie dowodzi ochrony termicznej</w:t>
      </w:r>
      <w:bookmarkEnd w:id="24"/>
    </w:p>
    <w:p>
      <w:pPr>
        <w:pStyle w:val="Metadata"/>
        <w:keepNext/>
        <w:keepLines/>
      </w:pPr>
      <w:r>
        <w:t>P1 • Podstawa R • Nowe • Bramka Zamknięcie C i G3</w:t>
      </w:r>
    </w:p>
    <w:p>
      <w:pPr>
        <w:keepNext w:val="0"/>
        <w:keepLines/>
      </w:pPr>
      <w:r>
        <w:rPr>
          <w:b/>
        </w:rPr>
        <w:t xml:space="preserve">Dowód i ocena </w:t>
      </w:r>
      <w:r>
        <w:t>Przegrzanie ECU, drivera i awaria kanału mocy mają skutkować limitem obrotów przy niezmienionych mapach. W innym przypadku przewidziano cofnięcie zapłonu.</w:t>
      </w:r>
    </w:p>
    <w:p>
      <w:pPr>
        <w:keepNext w:val="0"/>
        <w:keepLines/>
      </w:pPr>
      <w:r>
        <w:rPr>
          <w:b/>
        </w:rPr>
        <w:t xml:space="preserve">Skutek </w:t>
      </w:r>
      <w:r>
        <w:t>Efekt zależy od przyczyny przegrzania, dwell, prądu i chłodzenia. Przy małych obrotach można nadal ładować cewkę zbyt długo. Opóźnienie zapłonu może zwiększać energię trafiającą do wydechu. Jedna reakcja dla wszystkich kanałów mocy jest zbyt ogólna.</w:t>
      </w:r>
    </w:p>
    <w:p>
      <w:pPr>
        <w:keepNext w:val="0"/>
        <w:keepLines/>
      </w:pPr>
      <w:r>
        <w:rPr>
          <w:b/>
        </w:rPr>
        <w:t xml:space="preserve">Zalecenie </w:t>
      </w:r>
      <w:r>
        <w:t>Zdefiniować osobno ograniczenie energii lub wypełnienia drivera, sterowanie wentylatorem i zachowanie uszkodzonego kanału. Przyjęte reakcje mapowe zweryfikować na danym silniku. Bezpieczna reakcja musi być powiązana z mierzonym skutkiem.</w:t>
      </w:r>
    </w:p>
    <w:p>
      <w:pPr>
        <w:keepNext w:val="0"/>
        <w:keepLines/>
      </w:pPr>
      <w:r>
        <w:rPr>
          <w:b/>
        </w:rPr>
        <w:t xml:space="preserve">Dowód zamknięcia </w:t>
      </w:r>
      <w:r>
        <w:t>Temperatury elementów i silnika oraz prądy przed i po ograniczeniu w najgorszych warunkach. Awaria wentylatora i utrata wiarygodnego pomiaru temperatury wymagają osobnych scenariuszy.</w:t>
      </w:r>
    </w:p>
    <w:p>
      <w:pPr>
        <w:pStyle w:val="Evidence"/>
        <w:keepNext w:val="0"/>
        <w:keepLines/>
      </w:pPr>
      <w:r>
        <w:t>Dossier rozdz. 6.4</w:t>
      </w:r>
    </w:p>
    <w:p>
      <w:bookmarkStart w:id="25" w:name="A20"/>
      <w:pPr>
        <w:pStyle w:val="Heading2"/>
      </w:pPr>
      <w:r>
        <w:t>A20 Bogata mapa awaryjna jest hipotezą dla przyszłych wariantów</w:t>
      </w:r>
      <w:bookmarkEnd w:id="25"/>
    </w:p>
    <w:p>
      <w:pPr>
        <w:pStyle w:val="Metadata"/>
        <w:keepNext/>
        <w:keepLines/>
      </w:pPr>
      <w:r>
        <w:t>P1 • Podstawa O • Znane rozszerzone • Bramka Bramki wariantów B i C</w:t>
      </w:r>
    </w:p>
    <w:p>
      <w:pPr>
        <w:keepNext w:val="0"/>
        <w:keepLines/>
      </w:pPr>
      <w:r>
        <w:rPr>
          <w:b/>
        </w:rPr>
        <w:t xml:space="preserve">Dowód i ocena </w:t>
      </w:r>
      <w:r>
        <w:t>Dossier prawidłowo ogranicza rozumowanie o dawce paliwa do wariantów B/C. Nie ma specyfikacji ich silników, czujników i algorytmów dawkowania.</w:t>
      </w:r>
    </w:p>
    <w:p>
      <w:pPr>
        <w:keepNext w:val="0"/>
        <w:keepLines/>
      </w:pPr>
      <w:r>
        <w:rPr>
          <w:b/>
        </w:rPr>
        <w:t xml:space="preserve">Skutek </w:t>
      </w:r>
      <w:r>
        <w:t>Unikanie skrajnie ubogiej mieszanki jest właściwym celem, ale stała dawka pełnego obciążenia nie stanowi uniwersalnego trybu bezpiecznego. Przy małym dopływie powietrza może prowadzić do zalewania i nadmiaru niespalonego paliwa. W 2T trzeba uwzględnić również sposób smarowania.</w:t>
      </w:r>
    </w:p>
    <w:p>
      <w:pPr>
        <w:keepNext w:val="0"/>
        <w:keepLines/>
      </w:pPr>
      <w:r>
        <w:rPr>
          <w:b/>
        </w:rPr>
        <w:t xml:space="preserve">Zalecenie </w:t>
      </w:r>
      <w:r>
        <w:t>Oznaczyć tę decyzję jako niezweryfikowaną koncepcję poza baseline MVP-A. Dla każdego przyszłego silnika określić dostępne zastępcze informacje o powietrzu, granice dawki, czas dopuszczalnej pracy i kryteria zakończenia.</w:t>
      </w:r>
    </w:p>
    <w:p>
      <w:pPr>
        <w:keepNext w:val="0"/>
        <w:keepLines/>
      </w:pPr>
      <w:r>
        <w:rPr>
          <w:b/>
        </w:rPr>
        <w:t xml:space="preserve">Dowód zamknięcia </w:t>
      </w:r>
      <w:r>
        <w:t>Walidacja składu mieszanki, temperatur i pracy silnika w całym dopuszczonym trybie awaryjnym. Nie zamykać decyzji samym rozumowaniem i nie rozwijać jej przed ustaleniem zakresu B/C.</w:t>
      </w:r>
    </w:p>
    <w:p>
      <w:pPr>
        <w:pStyle w:val="Evidence"/>
        <w:keepNext w:val="0"/>
        <w:keepLines/>
      </w:pPr>
      <w:r>
        <w:t>Dossier rozdz. 6.4, 9.2, 10 krok 5</w:t>
      </w:r>
    </w:p>
    <w:p>
      <w:bookmarkStart w:id="26" w:name="A21"/>
      <w:pPr>
        <w:pStyle w:val="Heading2"/>
      </w:pPr>
      <w:r>
        <w:t>A21 Live tuning wymaga rozstrzygnięcia przed implementacją</w:t>
      </w:r>
      <w:bookmarkEnd w:id="26"/>
    </w:p>
    <w:p>
      <w:pPr>
        <w:pStyle w:val="Metadata"/>
        <w:keepNext/>
        <w:keepLines/>
      </w:pPr>
      <w:r>
        <w:t>P0 • Podstawa O • Znane z rekomendacją • Bramka G0 i zamknięcie C</w:t>
      </w:r>
    </w:p>
    <w:p>
      <w:pPr>
        <w:keepNext w:val="0"/>
        <w:keepLines/>
      </w:pPr>
      <w:r>
        <w:rPr>
          <w:b/>
        </w:rPr>
        <w:t xml:space="preserve">Dowód i ocena </w:t>
      </w:r>
      <w:r>
        <w:t>Dotychczasowa blokada opiera się na obrotach i TPS&gt;60%. W MVP-A TPS nie istnieje. Dossier przedstawia trzy możliwości bez decyzji.</w:t>
      </w:r>
    </w:p>
    <w:p>
      <w:pPr>
        <w:keepNext w:val="0"/>
        <w:keepLines/>
      </w:pPr>
      <w:r>
        <w:rPr>
          <w:b/>
        </w:rPr>
        <w:t xml:space="preserve">Skutek </w:t>
      </w:r>
      <w:r>
        <w:t>Obroty nie stanowią pomiaru obciążenia. Limit szybkości zmiany mapy nie chroni przed powolnym dojściem do niebezpiecznego kąta. Prędkość koła lub wskazany bieg również nie odtwarzają obciążenia przy użyciu sprzęgła.</w:t>
      </w:r>
    </w:p>
    <w:p>
      <w:pPr>
        <w:keepNext w:val="0"/>
        <w:keepLines/>
      </w:pPr>
      <w:r>
        <w:rPr>
          <w:b/>
        </w:rPr>
        <w:t xml:space="preserve">Zalecenie </w:t>
      </w:r>
      <w:r>
        <w:t>Dla pierwszego MVP-A wybrać blokadę aktywacji zmian przy pracującym silniku. Zachować podgląd diagnostyki. Edytować mapę w buforze i aktywować ją po wiarygodnym zatrzymaniu, rozbrojeniu zapłonu i jawnej komendzie. Tryb strojenia na pracującym silniku rozpatrzyć później jako odrębny tryb stanowiskowy.</w:t>
      </w:r>
    </w:p>
    <w:p>
      <w:pPr>
        <w:keepNext w:val="0"/>
        <w:keepLines/>
      </w:pPr>
      <w:r>
        <w:rPr>
          <w:b/>
        </w:rPr>
        <w:t xml:space="preserve">Dowód zamknięcia </w:t>
      </w:r>
      <w:r>
        <w:t>Decyzja właściciela i wymaganie z warunkami rozbrojenia. Testy prób zapisu, aktywacji, zmiany mapy i aktualizacji przy ruchu wału, utracie VR oraz zerwaniu komunikacji.</w:t>
      </w:r>
    </w:p>
    <w:p>
      <w:pPr>
        <w:pStyle w:val="Evidence"/>
        <w:keepNext w:val="0"/>
        <w:keepLines/>
      </w:pPr>
      <w:r>
        <w:t>Dossier rozdz. 8.1 ECU-SAF-011, 9.0.1</w:t>
      </w:r>
    </w:p>
    <w:p>
      <w:bookmarkStart w:id="27" w:name="A22"/>
      <w:pPr>
        <w:pStyle w:val="Heading2"/>
      </w:pPr>
      <w:r>
        <w:t>A22 Mapa wymaga atomowej aktywacji i odrębnej granicy bezpieczeństwa</w:t>
      </w:r>
      <w:bookmarkEnd w:id="27"/>
    </w:p>
    <w:p>
      <w:pPr>
        <w:pStyle w:val="Metadata"/>
        <w:keepNext/>
        <w:keepLines/>
      </w:pPr>
      <w:r>
        <w:t>P1 • Podstawa O • Znane rozszerzone • Bramka Punkt D i G3</w:t>
      </w:r>
    </w:p>
    <w:p>
      <w:pPr>
        <w:keepNext w:val="0"/>
        <w:keepLines/>
      </w:pPr>
      <w:r>
        <w:rPr>
          <w:b/>
        </w:rPr>
        <w:t xml:space="preserve">Dowód i ocena </w:t>
      </w:r>
      <w:r>
        <w:t>Format, interpolacja, zakresy i walidacja map są zaplanowane w D. Limit termodynamiczny opisano jako zawarty w mapie.</w:t>
      </w:r>
    </w:p>
    <w:p>
      <w:pPr>
        <w:keepNext w:val="0"/>
        <w:keepLines/>
      </w:pPr>
      <w:r>
        <w:rPr>
          <w:b/>
        </w:rPr>
        <w:t xml:space="preserve">Skutek </w:t>
      </w:r>
      <w:r>
        <w:t>Edycja mapy nie powinna równocześnie zmieniać granicy, która ma chronić przed błędną edycją. Częściowe dane, zła jednostka, niesortowana oś, NaN lub przepełnienie mogą dać niezamierzony kąt. Zmiana mapy w środku zdarzenia zapłonu może rozdzielić decyzje początku i końca ładowania.</w:t>
      </w:r>
    </w:p>
    <w:p>
      <w:pPr>
        <w:keepNext w:val="0"/>
        <w:keepLines/>
      </w:pPr>
      <w:r>
        <w:rPr>
          <w:b/>
        </w:rPr>
        <w:t xml:space="preserve">Zalecenie </w:t>
      </w:r>
      <w:r>
        <w:t>Ustalić odrębny zweryfikowany profil dopuszczalnych nastaw dla konkretnego silnika. Sprawdzać integralność, wersję i spójność osi po stronie ECU. Aktywować kompletny zestaw w określonym punkcie cyklu, z jednym właścicielem wersji mapy dla całego impulsu.</w:t>
      </w:r>
    </w:p>
    <w:p>
      <w:pPr>
        <w:keepNext w:val="0"/>
        <w:keepLines/>
      </w:pPr>
      <w:r>
        <w:rPr>
          <w:b/>
        </w:rPr>
        <w:t xml:space="preserve">Dowód zamknięcia </w:t>
      </w:r>
      <w:r>
        <w:t>Uszkodzone rekordy, graniczne liczby, jednostki, punkty poza osią, przerwany zapis i wielokrotne polecenia. W testach każda iskra ma być przypisana do jednej kompletnej wersji danych.</w:t>
      </w:r>
    </w:p>
    <w:p>
      <w:pPr>
        <w:pStyle w:val="Evidence"/>
        <w:keepNext w:val="0"/>
        <w:keepLines/>
      </w:pPr>
      <w:r>
        <w:t>Dossier rozdz. 6.3, 8.2 przełączanie map, 10 krok 2</w:t>
      </w:r>
    </w:p>
    <w:p>
      <w:bookmarkStart w:id="28" w:name="A23"/>
      <w:pPr>
        <w:pStyle w:val="Heading2"/>
      </w:pPr>
      <w:r>
        <w:t>A23 Aktualizacja musi mieć fizycznie rozbrojone wyjścia</w:t>
      </w:r>
      <w:bookmarkEnd w:id="28"/>
    </w:p>
    <w:p>
      <w:pPr>
        <w:pStyle w:val="Metadata"/>
        <w:keepNext/>
        <w:keepLines/>
      </w:pPr>
      <w:r>
        <w:t>P0 • Podstawa O • Znane rozszerzone • Bramka G0 i G1</w:t>
      </w:r>
    </w:p>
    <w:p>
      <w:pPr>
        <w:keepNext w:val="0"/>
        <w:keepLines/>
      </w:pPr>
      <w:r>
        <w:rPr>
          <w:b/>
        </w:rPr>
        <w:t xml:space="preserve">Dowód i ocena </w:t>
      </w:r>
      <w:r>
        <w:t>Brak wymagań bootloadera jest znaną pozycją P0. Nie przedstawiono wspólnej reguły blokowania zapłonu, wtrysku i rozrusznika w trybie aktualizacji.</w:t>
      </w:r>
    </w:p>
    <w:p>
      <w:pPr>
        <w:keepNext w:val="0"/>
        <w:keepLines/>
      </w:pPr>
      <w:r>
        <w:rPr>
          <w:b/>
        </w:rPr>
        <w:t xml:space="preserve">Skutek </w:t>
      </w:r>
      <w:r>
        <w:t>Uruchomienie bootloadera, kasowanie pamięci i zmiana aplikacji zmieniają zachowanie GPIO i timerów. Zerowa liczba impulsów VR nie dowodzi zatrzymania. Przy zerwaniu aktualizacji nie może nastąpić niezamierzone uzbrojenie.</w:t>
      </w:r>
    </w:p>
    <w:p>
      <w:pPr>
        <w:keepNext w:val="0"/>
        <w:keepLines/>
      </w:pPr>
      <w:r>
        <w:rPr>
          <w:b/>
        </w:rPr>
        <w:t xml:space="preserve">Zalecenie </w:t>
      </w:r>
      <w:r>
        <w:t>Wymagać sprzętowego rozbrojenia wszystkich istotnych wyjść przed wejściem w aktualizację i przez cały czas jej trwania. Zezwalać na ponowne uzbrojenie dopiero po weryfikacji obrazu, inicjalizacji, autoteście i jawnie zdefiniowanej procedurze.</w:t>
      </w:r>
    </w:p>
    <w:p>
      <w:pPr>
        <w:keepNext w:val="0"/>
        <w:keepLines/>
      </w:pPr>
      <w:r>
        <w:rPr>
          <w:b/>
        </w:rPr>
        <w:t xml:space="preserve">Dowód zamknięcia </w:t>
      </w:r>
      <w:r>
        <w:t>Aktualizacja przy uszkodzonym VR, ruchu wału, resecie, zaniku napięcia i przerwanym CAN/USB. Pomiar wyjść od startu bootloadera do startu aplikacji bez jakiegokolwiek nieplanowanego impulsu.</w:t>
      </w:r>
    </w:p>
    <w:p>
      <w:pPr>
        <w:pStyle w:val="Evidence"/>
        <w:keepNext w:val="0"/>
        <w:keepLines/>
      </w:pPr>
      <w:r>
        <w:t>Dossier rozdz. 8.2 bootloader, 10 krok 3</w:t>
      </w:r>
    </w:p>
    <w:p>
      <w:bookmarkStart w:id="29" w:name="A24"/>
      <w:pPr>
        <w:pStyle w:val="Heading2"/>
      </w:pPr>
      <w:r>
        <w:t>A24 Odporność aktualizacji i konfiguracji na utratę zasilania</w:t>
      </w:r>
      <w:bookmarkEnd w:id="29"/>
    </w:p>
    <w:p>
      <w:pPr>
        <w:pStyle w:val="Metadata"/>
        <w:keepNext/>
        <w:keepLines/>
      </w:pPr>
      <w:r>
        <w:t>P1 • Podstawa O • Znane rozszerzone • Bramka Punkty D i H oraz G3</w:t>
      </w:r>
    </w:p>
    <w:p>
      <w:pPr>
        <w:keepNext w:val="0"/>
        <w:keepLines/>
      </w:pPr>
      <w:r>
        <w:rPr>
          <w:b/>
        </w:rPr>
        <w:t xml:space="preserve">Dowód i ocena </w:t>
      </w:r>
      <w:r>
        <w:t>Bootloader, podział pamięci i aktualizacja HMI są nierozstrzygnięte. Nie określono transakcji zapisu ani ścieżki odzyskania sprawności.</w:t>
      </w:r>
    </w:p>
    <w:p>
      <w:pPr>
        <w:keepNext w:val="0"/>
        <w:keepLines/>
      </w:pPr>
      <w:r>
        <w:rPr>
          <w:b/>
        </w:rPr>
        <w:t xml:space="preserve">Skutek </w:t>
      </w:r>
      <w:r>
        <w:t>Prawidłowo działające ECU może zostać unieruchomione przerwaniem aktualizacji lub zapisu parametrów. Sama suma CRC wykrywa uszkodzenie, lecz nie dostarcza poprawnego obrazu. Podwójny bank Flash nie gwarantuje automatycznie poprawnego fallbacku.</w:t>
      </w:r>
    </w:p>
    <w:p>
      <w:pPr>
        <w:keepNext w:val="0"/>
        <w:keepLines/>
      </w:pPr>
      <w:r>
        <w:rPr>
          <w:b/>
        </w:rPr>
        <w:t xml:space="preserve">Zalecenie </w:t>
      </w:r>
      <w:r>
        <w:t>Wybrać schemat aktualizacji i odzyskania, z kontrolą integralności i zgodności obrazu, ochroną bootloadera oraz atomowymi rekordami konfiguracji. Określić politykę autentyczności obrazu stosownie do modelu dostępu. Rozdzielić utratę parametrów od uszkodzenia kodu.</w:t>
      </w:r>
    </w:p>
    <w:p>
      <w:pPr>
        <w:keepNext w:val="0"/>
        <w:keepLines/>
      </w:pPr>
      <w:r>
        <w:rPr>
          <w:b/>
        </w:rPr>
        <w:t xml:space="preserve">Dowód zamknięcia </w:t>
      </w:r>
      <w:r>
        <w:t>Przerywanie zasilania na każdym etapie zapisu i zmiany wersji. Każdy wynik musi kończyć się poprawnym obrazem lub dostępnym trybem odzyskania przy rozbrojonych wyjściach.</w:t>
      </w:r>
    </w:p>
    <w:p>
      <w:pPr>
        <w:pStyle w:val="Evidence"/>
        <w:keepNext w:val="0"/>
        <w:keepLines/>
      </w:pPr>
      <w:r>
        <w:t>Dossier rozdz. 8.2, 10</w:t>
      </w:r>
    </w:p>
    <w:p>
      <w:bookmarkStart w:id="30" w:name="A25"/>
      <w:pPr>
        <w:pStyle w:val="Heading2"/>
      </w:pPr>
      <w:r>
        <w:t>A25 Dwie przetwornice nie zamykają ochrony instalacji</w:t>
      </w:r>
      <w:bookmarkEnd w:id="30"/>
    </w:p>
    <w:p>
      <w:pPr>
        <w:pStyle w:val="Metadata"/>
        <w:keepNext/>
        <w:keepLines/>
      </w:pPr>
      <w:r>
        <w:t>P0 • Podstawa O • Nowe wymaganie do wykazania • Bramka G1 i G2</w:t>
      </w:r>
    </w:p>
    <w:p>
      <w:pPr>
        <w:keepNext w:val="0"/>
        <w:keepLines/>
      </w:pPr>
      <w:r>
        <w:rPr>
          <w:b/>
        </w:rPr>
        <w:t xml:space="preserve">Dowód i ocena </w:t>
      </w:r>
      <w:r>
        <w:t>Zasilanie opisano przez dwie niezależne przetwornice o stałych nastawach. Nie podano dopuszczalnych przebiegów wejściowych ani zachowania torów przy awarii szyny.</w:t>
      </w:r>
    </w:p>
    <w:p>
      <w:pPr>
        <w:keepNext w:val="0"/>
        <w:keepLines/>
      </w:pPr>
      <w:r>
        <w:rPr>
          <w:b/>
        </w:rPr>
        <w:t xml:space="preserve">Skutek </w:t>
      </w:r>
      <w:r>
        <w:t>Stała nastawa usuwa jeden błąd sterowania, lecz nie chroni sama przed odwrotną polaryzacją, skokami napięcia, zanikiem podczas rozruchu ani zwarciem między domenami. Wspólne zasilanie, masa i zabezpieczenie wejściowe mogą nadal być wspólną przyczyną awarii.</w:t>
      </w:r>
    </w:p>
    <w:p>
      <w:pPr>
        <w:keepNext w:val="0"/>
        <w:keepLines/>
      </w:pPr>
      <w:r>
        <w:rPr>
          <w:b/>
        </w:rPr>
        <w:t xml:space="preserve">Zalecenie </w:t>
      </w:r>
      <w:r>
        <w:t>Przed zatwierdzeniem architektury ustalić obwiednię napięcia i energii zakłóceń dla konkretnego motocykla. Zaprojektować zabezpieczenie wejścia, progi nadzoru, kolejność uruchamiania i niezależną reakcję na nieprawidłową szynę.</w:t>
      </w:r>
    </w:p>
    <w:p>
      <w:pPr>
        <w:keepNext w:val="0"/>
        <w:keepLines/>
      </w:pPr>
      <w:r>
        <w:rPr>
          <w:b/>
        </w:rPr>
        <w:t xml:space="preserve">Dowód zamknięcia </w:t>
      </w:r>
      <w:r>
        <w:t>Analiza najgorszych przypadków oraz testy rozruchu, zaniku i powrotu zasilania, zwarć szyn, przepięć i odwrotnego podłączenia. Dossier nie dowodzi braku tych zabezpieczeń w schemacie; wymaga ich przedstawienia.</w:t>
      </w:r>
    </w:p>
    <w:p>
      <w:pPr>
        <w:pStyle w:val="Evidence"/>
        <w:keepNext w:val="0"/>
        <w:keepLines/>
      </w:pPr>
      <w:r>
        <w:t>Dossier rozdz. 6.1, 6.2, 8.3 R2</w:t>
      </w:r>
    </w:p>
    <w:p>
      <w:bookmarkStart w:id="31" w:name="A26"/>
      <w:pPr>
        <w:pStyle w:val="Heading2"/>
      </w:pPr>
      <w:r>
        <w:t>A26 Driver zapłonu jest pominięty w budżecie uśpienia</w:t>
      </w:r>
      <w:bookmarkEnd w:id="31"/>
    </w:p>
    <w:p>
      <w:pPr>
        <w:pStyle w:val="Metadata"/>
        <w:keepNext/>
        <w:keepLines/>
      </w:pPr>
      <w:r>
        <w:t>P1 • Podstawa B • Nowe • Bramka G1 i G2</w:t>
      </w:r>
    </w:p>
    <w:p>
      <w:pPr>
        <w:keepNext w:val="0"/>
        <w:keepLines/>
      </w:pPr>
      <w:r>
        <w:rPr>
          <w:b/>
        </w:rPr>
        <w:t xml:space="preserve">Dowód i ocena </w:t>
      </w:r>
      <w:r>
        <w:t>Budżet uśpienia nie zawiera VBG08H-E. Karta drivera podaje standby 5 mA typowo i 6 mA maksymalnie przy VS=13,5 V.</w:t>
      </w:r>
    </w:p>
    <w:p>
      <w:pPr>
        <w:keepNext w:val="0"/>
        <w:keepLines/>
      </w:pPr>
      <w:r>
        <w:rPr>
          <w:b/>
        </w:rPr>
        <w:t xml:space="preserve">Skutek </w:t>
      </w:r>
      <w:r>
        <w:t>Jeżeli VS drivera pozostaje podłączone do akumulatora, sam ten odbiornik przekracza limit ECU 150 µA ponad 33 razy. Wyłączenie EN ani odcięcie szyny czujników 5 V nie usuwa tego poboru. Bez schematu nie można potwierdzić, czy VS jest już odłączane.</w:t>
      </w:r>
    </w:p>
    <w:p>
      <w:pPr>
        <w:keepNext w:val="0"/>
        <w:keepLines/>
      </w:pPr>
      <w:r>
        <w:rPr>
          <w:b/>
        </w:rPr>
        <w:t xml:space="preserve">Zalecenie </w:t>
      </w:r>
      <w:r>
        <w:t>Pokazać odłączenie zasilania drivera w uśpieniu lub zmienić tor zapłonu. Sprawdzić osobno zasilanie cewki, upływy i kolejność wygaszenia przed odłączeniem. Zaktualizować bilans wszystkich elementów podłączonych do akumulatora.</w:t>
      </w:r>
    </w:p>
    <w:p>
      <w:pPr>
        <w:keepNext w:val="0"/>
        <w:keepLines/>
      </w:pPr>
      <w:r>
        <w:rPr>
          <w:b/>
        </w:rPr>
        <w:t xml:space="preserve">Dowód zamknięcia </w:t>
      </w:r>
      <w:r>
        <w:t>Pomiar prądu akumulatora dla kompletnego ECU w uśpieniu i po każdej przyczynie wybudzenia. Dowodem zamknięcia jest schemat domen i pomiar, nie deklaracja stanu EN.</w:t>
      </w:r>
    </w:p>
    <w:p>
      <w:pPr>
        <w:pStyle w:val="Evidence"/>
        <w:keepNext w:val="0"/>
        <w:keepLines/>
      </w:pPr>
      <w:r>
        <w:t>Dossier rozdz. 6.1, 6.5 • Źródła S02 s. 11</w:t>
      </w:r>
    </w:p>
    <w:p>
      <w:bookmarkStart w:id="32" w:name="A27"/>
      <w:pPr>
        <w:pStyle w:val="Heading2"/>
      </w:pPr>
      <w:r>
        <w:t>A27 Budżet uśpienia nie obejmuje pełnej architektury</w:t>
      </w:r>
      <w:bookmarkEnd w:id="32"/>
    </w:p>
    <w:p>
      <w:pPr>
        <w:pStyle w:val="Metadata"/>
        <w:keepNext/>
        <w:keepLines/>
      </w:pPr>
      <w:r>
        <w:t>P1 • Podstawa B • Nowe • Bramka G0 dla warunków pomiaru i G2 dla bilansu</w:t>
      </w:r>
    </w:p>
    <w:p>
      <w:pPr>
        <w:keepNext w:val="0"/>
        <w:keepLines/>
      </w:pPr>
      <w:r>
        <w:rPr>
          <w:b/>
        </w:rPr>
        <w:t xml:space="preserve">Dowód i ocena </w:t>
      </w:r>
      <w:r>
        <w:t>W sumie brakuje jawnego poboru MCU, watchdoga, driverów mocy, dzielników, pull-upów i upływów. W 6.1 są dwa TJA1043, lecz bilans nie wskazuje liczby uwzględnionych sztuk.</w:t>
      </w:r>
    </w:p>
    <w:p>
      <w:pPr>
        <w:keepNext w:val="0"/>
        <w:keepLines/>
      </w:pPr>
      <w:r>
        <w:rPr>
          <w:b/>
        </w:rPr>
        <w:t xml:space="preserve">Skutek </w:t>
      </w:r>
      <w:r>
        <w:t>STM32G474 w Stop 1 przy 3,0 V ma około 80,5 µA typowo i 640 µA maksymalnie przy 25°C; pobór rośnie z temperaturą. Prąd szyny 3,3 V nie jest równy prądowi akumulatora. Stop może też kolidować z koniecznością obsługi okienkowego watchdoga.</w:t>
      </w:r>
    </w:p>
    <w:p>
      <w:pPr>
        <w:keepNext w:val="0"/>
        <w:keepLines/>
      </w:pPr>
      <w:r>
        <w:rPr>
          <w:b/>
        </w:rPr>
        <w:t xml:space="preserve">Zalecenie </w:t>
      </w:r>
      <w:r>
        <w:t>Liczyć bilans na zaciskach akumulatora, z rzeczywistymi sprawnościami przetwornic przy małym obciążeniu i częstotliwością wybudzeń. Porównać Stop ze Standby. Określić sposób nadzoru podczas snu i gwarantowany zakres temperatur oraz napięcia dla limitu 150/250 µA.</w:t>
      </w:r>
    </w:p>
    <w:p>
      <w:pPr>
        <w:keepNext w:val="0"/>
        <w:keepLines/>
      </w:pPr>
      <w:r>
        <w:rPr>
          <w:b/>
        </w:rPr>
        <w:t xml:space="preserve">Dowód zamknięcia </w:t>
      </w:r>
      <w:r>
        <w:t>Kompletna tabela domen z wartościami min/typ/max i test prądu średniego przez długi okres. Dołączyć ECU, HMI, oba CAN, podłączone czujniki i sesję USB oraz sprawdzić lawinę wybudzeń.</w:t>
      </w:r>
    </w:p>
    <w:p>
      <w:pPr>
        <w:pStyle w:val="Evidence"/>
        <w:keepNext w:val="0"/>
        <w:keepLines/>
      </w:pPr>
      <w:r>
        <w:t>Dossier rozdz. 6.1, 6.5, 8.3 R9 • Źródła S05 s. 14–15; S06 s. 102–103; S04 s. 6</w:t>
      </w:r>
    </w:p>
    <w:p>
      <w:bookmarkStart w:id="33" w:name="A28"/>
      <w:pPr>
        <w:pStyle w:val="Heading2"/>
      </w:pPr>
      <w:r>
        <w:t>A28 Wybudzanie wymaga zdefiniowanego scenariusza użycia</w:t>
      </w:r>
      <w:bookmarkEnd w:id="33"/>
    </w:p>
    <w:p>
      <w:pPr>
        <w:pStyle w:val="Metadata"/>
        <w:keepNext/>
        <w:keepLines/>
      </w:pPr>
      <w:r>
        <w:t>P1 • Podstawa O • Nowe • Bramka G0 i G1</w:t>
      </w:r>
    </w:p>
    <w:p>
      <w:pPr>
        <w:keepNext w:val="0"/>
        <w:keepLines/>
      </w:pPr>
      <w:r>
        <w:rPr>
          <w:b/>
        </w:rPr>
        <w:t xml:space="preserve">Dowód i ocena </w:t>
      </w:r>
      <w:r>
        <w:t>Wybudzanie VR odrzucono, a kondycjoner jest odłączony podczas uśpienia. Beta ma rozrusznik elektryczny i kickstarter. Dossier nie opisuje pełnej ścieżki budzenia.</w:t>
      </w:r>
    </w:p>
    <w:p>
      <w:pPr>
        <w:keepNext w:val="0"/>
        <w:keepLines/>
      </w:pPr>
      <w:r>
        <w:rPr>
          <w:b/>
        </w:rPr>
        <w:t xml:space="preserve">Skutek </w:t>
      </w:r>
      <w:r>
        <w:t>Odrzucenie jednego źródła jest uzasadnione energetycznie, ale pozostawia pytanie o start kickstarterem, start z rozpędu i odłączone HMI. Sygnał przycisku rozrusznika powinien obudzić ECU przed zezwoleniem na obrót. Nie można liczyć na CAN, jeśli drugi węzeł również śpi bez lokalnego źródła budzenia.</w:t>
      </w:r>
    </w:p>
    <w:p>
      <w:pPr>
        <w:keepNext w:val="0"/>
        <w:keepLines/>
      </w:pPr>
      <w:r>
        <w:rPr>
          <w:b/>
        </w:rPr>
        <w:t xml:space="preserve">Zalecenie </w:t>
      </w:r>
      <w:r>
        <w:t>Określić wszystkie dopuszczone sposoby startu i jawne ograniczenia, w tym wymaganą czynność budzenia. Powiązać sekwencję z czasem startu zasilania, MAX9926, synchronizacji i dopuszczenia iskry.</w:t>
      </w:r>
    </w:p>
    <w:p>
      <w:pPr>
        <w:keepNext w:val="0"/>
        <w:keepLines/>
      </w:pPr>
      <w:r>
        <w:rPr>
          <w:b/>
        </w:rPr>
        <w:t xml:space="preserve">Dowód zamknięcia </w:t>
      </w:r>
      <w:r>
        <w:t>Rozruch po długim postoju, bez HMI, z przyciskiem przytrzymanym, z bardzo niskim akumulatorem i po krótkim resecie. Próby mają wykazać, że żadne koło zależności wybudzenia nie pozostało.</w:t>
      </w:r>
    </w:p>
    <w:p>
      <w:pPr>
        <w:pStyle w:val="Evidence"/>
        <w:keepNext w:val="0"/>
        <w:keepLines/>
      </w:pPr>
      <w:r>
        <w:t>Dossier rozdz. 2.2, 6.5 • Źródła S01 s. 23; S03 s. 2</w:t>
      </w:r>
    </w:p>
    <w:p>
      <w:bookmarkStart w:id="34" w:name="A29"/>
      <w:pPr>
        <w:pStyle w:val="Heading2"/>
      </w:pPr>
      <w:r>
        <w:t>A29 Wyświetlacz wymaga korekty rozwiązania termicznego przed PCB</w:t>
      </w:r>
      <w:bookmarkEnd w:id="34"/>
    </w:p>
    <w:p>
      <w:pPr>
        <w:pStyle w:val="Metadata"/>
        <w:keepNext/>
        <w:keepLines/>
      </w:pPr>
      <w:r>
        <w:t>P1 • Podstawa O • Znane z wcześniejszą bramką • Bramka G1 i G2</w:t>
      </w:r>
    </w:p>
    <w:p>
      <w:pPr>
        <w:keepNext w:val="0"/>
        <w:keepLines/>
      </w:pPr>
      <w:r>
        <w:rPr>
          <w:b/>
        </w:rPr>
        <w:t xml:space="preserve">Dowód i ocena </w:t>
      </w:r>
      <w:r>
        <w:t>Dossier przytacza 76°C i odkłada ryzyko HMI do G5. Riverdi dopuszcza pracę modułu w zakresie −20…+70°C. Nie podano metody wyznaczenia 76°C.</w:t>
      </w:r>
    </w:p>
    <w:p>
      <w:pPr>
        <w:keepNext w:val="0"/>
        <w:keepLines/>
      </w:pPr>
      <w:r>
        <w:rPr>
          <w:b/>
        </w:rPr>
        <w:t xml:space="preserve">Skutek </w:t>
      </w:r>
      <w:r>
        <w:t>To ryzyko wpływające na architekturę, obudowę i czytelność, a nie wyłącznie na późną próbę terenową. Wyłączenie podświetlenia może nie obniżyć temperatury od promieniowania słonecznego. Jasność katalogowa nie dowodzi czytelności przez osłonę i w konkretnej orientacji.</w:t>
      </w:r>
    </w:p>
    <w:p>
      <w:pPr>
        <w:keepNext w:val="0"/>
        <w:keepLines/>
      </w:pPr>
      <w:r>
        <w:rPr>
          <w:b/>
        </w:rPr>
        <w:t xml:space="preserve">Zalecenie </w:t>
      </w:r>
      <w:r>
        <w:t>Ustalić bilans cieplny od słońca i elektroniki oraz dopuszczalną temperaturę lokalną panelu. Ocenić obudowę, kolor, osłonę i odprowadzanie ciepła. Określić funkcje ECU przy utracie HMI i sposób przekazania istotnych ostrzeżeń.</w:t>
      </w:r>
    </w:p>
    <w:p>
      <w:pPr>
        <w:keepNext w:val="0"/>
        <w:keepLines/>
      </w:pPr>
      <w:r>
        <w:rPr>
          <w:b/>
        </w:rPr>
        <w:t xml:space="preserve">Dowód zamknięcia </w:t>
      </w:r>
      <w:r>
        <w:t>Test termiczny reprezentatywnej konstrukcji przy słońcu i małym przepływie powietrza, również po zgaszeniu silnika. G5 potwierdza wynik, ale wybór panelu i konstrukcji trzeba rozstrzygnąć wcześniej.</w:t>
      </w:r>
    </w:p>
    <w:p>
      <w:pPr>
        <w:pStyle w:val="Evidence"/>
        <w:keepNext w:val="0"/>
        <w:keepLines/>
      </w:pPr>
      <w:r>
        <w:t>Dossier rozdz. 6.1, 8.3 R15 • Źródła S07 s. 7, 19</w:t>
      </w:r>
    </w:p>
    <w:p>
      <w:bookmarkStart w:id="35" w:name="A30"/>
      <w:pPr>
        <w:pStyle w:val="Heading2"/>
      </w:pPr>
      <w:r>
        <w:t>A30 HMI i drabinka przycisków muszą odrzucać niejednoznaczne wejścia</w:t>
      </w:r>
      <w:bookmarkEnd w:id="35"/>
    </w:p>
    <w:p>
      <w:pPr>
        <w:pStyle w:val="Metadata"/>
        <w:keepNext/>
        <w:keepLines/>
      </w:pPr>
      <w:r>
        <w:t>P1 • Podstawa O • Znane rozszerzone • Bramka G1 i G2</w:t>
      </w:r>
    </w:p>
    <w:p>
      <w:pPr>
        <w:keepNext w:val="0"/>
        <w:keepLines/>
      </w:pPr>
      <w:r>
        <w:rPr>
          <w:b/>
        </w:rPr>
        <w:t xml:space="preserve">Dowód i ocena </w:t>
      </w:r>
      <w:r>
        <w:t>Drabinka przycisków nie ma analizy najgorszego przypadku, a drzewo zasilania HMI i pełny numer flash pozostają otwarte.</w:t>
      </w:r>
    </w:p>
    <w:p>
      <w:pPr>
        <w:keepNext w:val="0"/>
        <w:keepLines/>
      </w:pPr>
      <w:r>
        <w:rPr>
          <w:b/>
        </w:rPr>
        <w:t xml:space="preserve">Skutek </w:t>
      </w:r>
      <w:r>
        <w:t>Tolerancje, wilgoć, drgania i kilka naciśniętych przycisków mogą dać napięcie zgodne z inną komendą. Odbiór starego ekranu lub opóźnionego CAN nie może wyglądać jak aktualny stan. Wyłączenie samego podświetlenia nie jest równoznaczne z uśpieniem modułu.</w:t>
      </w:r>
    </w:p>
    <w:p>
      <w:pPr>
        <w:keepNext w:val="0"/>
        <w:keepLines/>
      </w:pPr>
      <w:r>
        <w:rPr>
          <w:b/>
        </w:rPr>
        <w:t xml:space="preserve">Zalecenie </w:t>
      </w:r>
      <w:r>
        <w:t>Wyznaczyć rozłączne przedziały przycisków z marginesem i stanem nieprawidłowym. Istotne komendy wymagają świeżej, jednoznacznej czynności. Zdefiniować oznaczanie danych nieaktualnych, limit opóźnień i zachowanie po utracie ECU lub HMI.</w:t>
      </w:r>
    </w:p>
    <w:p>
      <w:pPr>
        <w:keepNext w:val="0"/>
        <w:keepLines/>
      </w:pPr>
      <w:r>
        <w:rPr>
          <w:b/>
        </w:rPr>
        <w:t xml:space="preserve">Dowód zamknięcia </w:t>
      </w:r>
      <w:r>
        <w:t>Próby tolerancji i zakłóceń, wielokrotnego naciśnięcia, przycisku stale wciśniętego, zaniku szyn i utraty ramek. Dla wyświetlacza potwierdzić osobno zasilanie logiki, podświetlenia i stanów uśpienia.</w:t>
      </w:r>
    </w:p>
    <w:p>
      <w:pPr>
        <w:pStyle w:val="Evidence"/>
        <w:keepNext w:val="0"/>
        <w:keepLines/>
      </w:pPr>
      <w:r>
        <w:t>Dossier rozdz. 5.1 Faza 2-HMI, 8.1 HMI-UI-004 i 005 • Źródła S07 s. 1, 7, 10, 13–14</w:t>
      </w:r>
    </w:p>
    <w:p>
      <w:bookmarkStart w:id="36" w:name="A31"/>
      <w:pPr>
        <w:pStyle w:val="Heading2"/>
      </w:pPr>
      <w:r>
        <w:t>A31 Zmiana na BMI090L nie dowodzi kwalifikacji AEC Q100</w:t>
      </w:r>
      <w:bookmarkEnd w:id="36"/>
    </w:p>
    <w:p>
      <w:pPr>
        <w:pStyle w:val="Metadata"/>
        <w:keepNext/>
        <w:keepLines/>
      </w:pPr>
      <w:r>
        <w:t>P1 • Podstawa B • Nowe • Bramka G1 i G2</w:t>
      </w:r>
    </w:p>
    <w:p>
      <w:pPr>
        <w:keepNext w:val="0"/>
        <w:keepLines/>
      </w:pPr>
      <w:r>
        <w:rPr>
          <w:b/>
        </w:rPr>
        <w:t xml:space="preserve">Dowód i ocena </w:t>
      </w:r>
      <w:r>
        <w:t>Uzasadnieniem zmiany BMI088 na BMI090L jest brak AEC-Q100 pierwszego układu. Dokumentacja Bosch dla BMI090L przedstawia zastosowania przemysłowe i konsumenckie; nie podaje deklaracji tej kwalifikacji.</w:t>
      </w:r>
    </w:p>
    <w:p>
      <w:pPr>
        <w:keepNext w:val="0"/>
        <w:keepLines/>
      </w:pPr>
      <w:r>
        <w:rPr>
          <w:b/>
        </w:rPr>
        <w:t xml:space="preserve">Skutek </w:t>
      </w:r>
      <w:r>
        <w:t>Sformułowanie automotive-proven odnoszące się do gyroskopu nie dowodzi kwalifikacji całego zamawianego układu. Karta zawiera ponadto ograniczenie zastosowań związanych z bezpieczeństwem. Błąd klasyfikacji komponentu może zatem powracać po deklarowanym zamknięciu wzorca.</w:t>
      </w:r>
    </w:p>
    <w:p>
      <w:pPr>
        <w:keepNext w:val="0"/>
        <w:keepLines/>
      </w:pPr>
      <w:r>
        <w:rPr>
          <w:b/>
        </w:rPr>
        <w:t xml:space="preserve">Zalecenie </w:t>
      </w:r>
      <w:r>
        <w:t>Nie uznawać celu zmiany za spełniony bez deklaracji producenta dla konkretnego numeru. Zestawić zakres temperatur IMU z miejscem montażu i wymaganiami ECU. Jeśli IMU powoduje odcięcie silnika, uzasadnić jego dobór oraz odporność całego algorytmu na błędny odczyt.</w:t>
      </w:r>
    </w:p>
    <w:p>
      <w:pPr>
        <w:keepNext w:val="0"/>
        <w:keepLines/>
      </w:pPr>
      <w:r>
        <w:rPr>
          <w:b/>
        </w:rPr>
        <w:t xml:space="preserve">Dowód zamknięcia </w:t>
      </w:r>
      <w:r>
        <w:t>Archiwalna deklaracja kwalifikacji albo zatwierdzona zmiana wymagania z analizą zastosowania. Dodatkowo testy fałszywej wywrotki przy przechyle, skoku, drganiach, swobodnym spadku i awarii transmisji.</w:t>
      </w:r>
    </w:p>
    <w:p>
      <w:pPr>
        <w:pStyle w:val="Evidence"/>
        <w:keepNext w:val="0"/>
        <w:keepLines/>
      </w:pPr>
      <w:r>
        <w:t>Dossier rozdz. 6.1, 9.3 • Źródła S10 s. 1–2; S11 s. 55</w:t>
      </w:r>
    </w:p>
    <w:p>
      <w:bookmarkStart w:id="37" w:name="A32"/>
      <w:pPr>
        <w:pStyle w:val="Heading2"/>
      </w:pPr>
      <w:r>
        <w:t>A32 Cykl życia BMI090L wymaga ponownej weryfikacji</w:t>
      </w:r>
      <w:bookmarkEnd w:id="37"/>
    </w:p>
    <w:p>
      <w:pPr>
        <w:pStyle w:val="Metadata"/>
        <w:keepNext/>
        <w:keepLines/>
      </w:pPr>
      <w:r>
        <w:t>P1 • Podstawa O • Nowe • Bramka G2 przed zakupem</w:t>
      </w:r>
    </w:p>
    <w:p>
      <w:pPr>
        <w:keepNext w:val="0"/>
        <w:keepLines/>
      </w:pPr>
      <w:r>
        <w:rPr>
          <w:b/>
        </w:rPr>
        <w:t xml:space="preserve">Dowód i ocena </w:t>
      </w:r>
      <w:r>
        <w:t>Wybrano BMI090L, lecz dossier nie przytacza aktualnej deklaracji Active dla tego wyboru. Bieżące indeksowane karty Mouser i Arrow wskazują Obsolete; informacja jest sygnałem zakupowym, a nie zastępstwem komunikatu producenta.</w:t>
      </w:r>
    </w:p>
    <w:p>
      <w:pPr>
        <w:keepNext w:val="0"/>
        <w:keepLines/>
      </w:pPr>
      <w:r>
        <w:rPr>
          <w:b/>
        </w:rPr>
        <w:t xml:space="preserve">Skutek </w:t>
      </w:r>
      <w:r>
        <w:t>To potencjalny konflikt z własną zasadą dyskwalifikacji NRND. Zapasy magazynowe i historyczny program longevity nie potwierdzają ciągłej produkcji. Wybór IMU należy traktować jako nierozstrzygnięty do uzyskania wiarygodnego aktualnego statusu.</w:t>
      </w:r>
    </w:p>
    <w:p>
      <w:pPr>
        <w:keepNext w:val="0"/>
        <w:keepLines/>
      </w:pPr>
      <w:r>
        <w:rPr>
          <w:b/>
        </w:rPr>
        <w:t xml:space="preserve">Zalecenie </w:t>
      </w:r>
      <w:r>
        <w:t>Uzyskać potwierdzenie cyklu życia i autoryzowanego źródła dla pełnego numeru, albo wybrać dostępny zamiennik po sprawdzeniu wszystkich wymagań. Zmiana nie może ponownie polegać wyłącznie na podobieństwie nazwy.</w:t>
      </w:r>
    </w:p>
    <w:p>
      <w:pPr>
        <w:keepNext w:val="0"/>
        <w:keepLines/>
      </w:pPr>
      <w:r>
        <w:rPr>
          <w:b/>
        </w:rPr>
        <w:t xml:space="preserve">Dowód zamknięcia </w:t>
      </w:r>
      <w:r>
        <w:t>Aktualny komunikat producenta lub formalne potwierdzenie autoryzowanej dystrybucji z datą i źródłem. Do tego karta kwalifikacji i ocena wpływu na schemat, interfejs i algorytm.</w:t>
      </w:r>
    </w:p>
    <w:p>
      <w:pPr>
        <w:pStyle w:val="Evidence"/>
        <w:keepNext w:val="0"/>
        <w:keepLines/>
      </w:pPr>
      <w:r>
        <w:t>Dossier rozdz. 4.3 zasada 10, 6.1, 8.3 • Źródła S12; S13; S11 s. 57</w:t>
      </w:r>
    </w:p>
    <w:p>
      <w:bookmarkStart w:id="38" w:name="A33"/>
      <w:pPr>
        <w:pStyle w:val="Heading2"/>
      </w:pPr>
      <w:r>
        <w:t>A33 Bilans MCU wymaga funkcji alternatywnych i dokładnych numerów</w:t>
      </w:r>
      <w:bookmarkEnd w:id="38"/>
    </w:p>
    <w:p>
      <w:pPr>
        <w:pStyle w:val="Metadata"/>
        <w:keepNext/>
        <w:keepLines/>
      </w:pPr>
      <w:r>
        <w:t>P1 • Podstawa O • Znane rozszerzone • Bramka G2</w:t>
      </w:r>
    </w:p>
    <w:p>
      <w:pPr>
        <w:keepNext w:val="0"/>
        <w:keepLines/>
      </w:pPr>
      <w:r>
        <w:rPr>
          <w:b/>
        </w:rPr>
        <w:t xml:space="preserve">Dowód i ocena </w:t>
      </w:r>
      <w:r>
        <w:t>Zmiana ECU na LQFP100 jest uzasadniona liczbą sygnałów. STM32G474VET3 ma właściwie wskazaną klasę temperaturową. Pozostałe pozycje, np. STM32G0B1, TJA1043 i MLX90316, nie są pełnymi numerami zamówieniowymi.</w:t>
      </w:r>
    </w:p>
    <w:p>
      <w:pPr>
        <w:keepNext w:val="0"/>
        <w:keepLines/>
      </w:pPr>
      <w:r>
        <w:rPr>
          <w:b/>
        </w:rPr>
        <w:t xml:space="preserve">Skutek </w:t>
      </w:r>
      <w:r>
        <w:t>Sama liczba GPIO nie dowodzi możliwości jednoczesnego użycia HRTIM, capture, ADC, CAN, USB i DMA. Klasa temperaturowa MCU nie dowodzi kwalifikacji całego ECU ani temperatury pozostałych elementów. Rewizja krzemu może zmienić obowiązujące obejścia.</w:t>
      </w:r>
    </w:p>
    <w:p>
      <w:pPr>
        <w:keepNext w:val="0"/>
        <w:keepLines/>
      </w:pPr>
      <w:r>
        <w:rPr>
          <w:b/>
        </w:rPr>
        <w:t xml:space="preserve">Zalecenie </w:t>
      </w:r>
      <w:r>
        <w:t>Zamknąć macierz funkcji alternatywnych, zasilania, debugowania i zasobów DMA. Dla każdego komponentu przytoczyć pełny numer, temperaturę, kwalifikację, status i dokument. Dołączyć przegląd erraty dla użytej rewizji.</w:t>
      </w:r>
    </w:p>
    <w:p>
      <w:pPr>
        <w:keepNext w:val="0"/>
        <w:keepLines/>
      </w:pPr>
      <w:r>
        <w:rPr>
          <w:b/>
        </w:rPr>
        <w:t xml:space="preserve">Dowód zamknięcia </w:t>
      </w:r>
      <w:r>
        <w:t>Konfiguracja pinów i peryferiów potwierdzona narzędziem producenta oraz przegląd konfliktów i erraty. Odbiór G2 wymaga realnego BOM, nie tylko listy rodzin.</w:t>
      </w:r>
    </w:p>
    <w:p>
      <w:pPr>
        <w:pStyle w:val="Evidence"/>
        <w:keepNext w:val="0"/>
        <w:keepLines/>
      </w:pPr>
      <w:r>
        <w:t>Dossier rozdz. 6.1, 7.2 F-009 i F-019 • Źródła S06; S09</w:t>
      </w:r>
    </w:p>
    <w:p>
      <w:bookmarkStart w:id="39" w:name="A34"/>
      <w:pPr>
        <w:pStyle w:val="Heading2"/>
      </w:pPr>
      <w:r>
        <w:t>A34 Kanał rozrusznika musi określać rzeczywiste obciążenie</w:t>
      </w:r>
      <w:bookmarkEnd w:id="39"/>
    </w:p>
    <w:p>
      <w:pPr>
        <w:pStyle w:val="Metadata"/>
        <w:keepNext/>
        <w:keepLines/>
      </w:pPr>
      <w:r>
        <w:t>P1 • Podstawa O • Nowe • Bramka G1 i G2</w:t>
      </w:r>
    </w:p>
    <w:p>
      <w:pPr>
        <w:keepNext w:val="0"/>
        <w:keepLines/>
      </w:pPr>
      <w:r>
        <w:rPr>
          <w:b/>
        </w:rPr>
        <w:t xml:space="preserve">Dowód i ocena </w:t>
      </w:r>
      <w:r>
        <w:t>Kanały BTS7008-2EPA obejmują rozrusznik. Nie określono, czy kanał zasila silnik, czy cewkę fabrycznego przekaźnika. Producent podaje nominalnie 7,5 A na kanał w określonych warunkach.</w:t>
      </w:r>
    </w:p>
    <w:p>
      <w:pPr>
        <w:keepNext w:val="0"/>
        <w:keepLines/>
      </w:pPr>
      <w:r>
        <w:rPr>
          <w:b/>
        </w:rPr>
        <w:t xml:space="preserve">Skutek </w:t>
      </w:r>
      <w:r>
        <w:t>To dwa zupełnie różne obciążenia. Nie wolno traktować limitu zwarciowego drivera jako dopuszczalnego prądu roboczego. Nawet sterowanie przekaźnikiem wymaga oceny jego energii indukcyjnej, prądu podtrzymania i skutku zespawania styków.</w:t>
      </w:r>
    </w:p>
    <w:p>
      <w:pPr>
        <w:keepNext w:val="0"/>
        <w:keepLines/>
      </w:pPr>
      <w:r>
        <w:rPr>
          <w:b/>
        </w:rPr>
        <w:t xml:space="preserve">Zalecenie </w:t>
      </w:r>
      <w:r>
        <w:t>W MVP-A jednoznacznie opisać sterowanie cewką przekaźnika, jeśli taki jest zamiar. Dla wszystkich kanałów podać prąd ciągły, rozruchowy, indukcyjność, cykl pracy, zabezpieczenie przewodu i reakcję na zwarcie do akumulatora.</w:t>
      </w:r>
    </w:p>
    <w:p>
      <w:pPr>
        <w:keepNext w:val="0"/>
        <w:keepLines/>
      </w:pPr>
      <w:r>
        <w:rPr>
          <w:b/>
        </w:rPr>
        <w:t xml:space="preserve">Dowód zamknięcia </w:t>
      </w:r>
      <w:r>
        <w:t>Schemat obciążenia, pomiar prądu i energii przy wyłączeniu oraz próba sklejonego przekaźnika. Skuteczność komendy wyłącz nie może być jedynym założeniem ochrony rozrusznika.</w:t>
      </w:r>
    </w:p>
    <w:p>
      <w:pPr>
        <w:pStyle w:val="Evidence"/>
        <w:keepNext w:val="0"/>
        <w:keepLines/>
      </w:pPr>
      <w:r>
        <w:t>Dossier rozdz. 6.1 wyjścia mocy • Źródła S14; S01 s. 25</w:t>
      </w:r>
    </w:p>
    <w:p>
      <w:bookmarkStart w:id="40" w:name="A35"/>
      <w:pPr>
        <w:pStyle w:val="Heading2"/>
      </w:pPr>
      <w:r>
        <w:t>A35 Złącze i wiązka wymagają osobnego bilansu obwodów</w:t>
      </w:r>
      <w:bookmarkEnd w:id="40"/>
    </w:p>
    <w:p>
      <w:pPr>
        <w:pStyle w:val="Metadata"/>
        <w:keepNext/>
        <w:keepLines/>
      </w:pPr>
      <w:r>
        <w:t>P1 • Podstawa O • Znane rozszerzone • Bramka G1 i G2</w:t>
      </w:r>
    </w:p>
    <w:p>
      <w:pPr>
        <w:keepNext w:val="0"/>
        <w:keepLines/>
      </w:pPr>
      <w:r>
        <w:rPr>
          <w:b/>
        </w:rPr>
        <w:t xml:space="preserve">Dowód i ocena </w:t>
      </w:r>
      <w:r>
        <w:t>Wybrano Molex CMC 28-obwodowe bez potwierdzonych wymiarów. Bilans 55 sygnałów MCU dotyczy pinów układu, a nie liczby zewnętrznych obwodów.</w:t>
      </w:r>
    </w:p>
    <w:p>
      <w:pPr>
        <w:keepNext w:val="0"/>
        <w:keepLines/>
      </w:pPr>
      <w:r>
        <w:rPr>
          <w:b/>
        </w:rPr>
        <w:t xml:space="preserve">Skutek </w:t>
      </w:r>
      <w:r>
        <w:t>Nie można ani uznać 28 pinów za wystarczające, ani stwierdzić sprzeczności przez proste porównanie 28 z 55. Potrzebne są osobne powroty mas, zasilania, CAN, czujników i obciążeń. Prąd oraz temperatura ograniczają liczbę jednocześnie obciążonych styków.</w:t>
      </w:r>
    </w:p>
    <w:p>
      <w:pPr>
        <w:keepNext w:val="0"/>
        <w:keepLines/>
      </w:pPr>
      <w:r>
        <w:rPr>
          <w:b/>
        </w:rPr>
        <w:t xml:space="preserve">Zalecenie </w:t>
      </w:r>
      <w:r>
        <w:t>Wykonać rzeczywisty pinout wiązki MVP-A, listę styków i uszczelnień, przekroje przewodów, zabezpieczenia oraz bilans prądu. Zdefiniować kluczowanie i niebezpieczne przypadki pomyłek połączeń.</w:t>
      </w:r>
    </w:p>
    <w:p>
      <w:pPr>
        <w:keepNext w:val="0"/>
        <w:keepLines/>
      </w:pPr>
      <w:r>
        <w:rPr>
          <w:b/>
        </w:rPr>
        <w:t xml:space="preserve">Dowód zamknięcia </w:t>
      </w:r>
      <w:r>
        <w:t>Pełne numery złącza i elementów wiązki, rysunek montażowy, obciążalność z deratingiem i próby ciągłości, zwarć oraz zamiany przewodów. Potwierdzić przestrzeń montażową przed zamrożeniem PCB.</w:t>
      </w:r>
    </w:p>
    <w:p>
      <w:pPr>
        <w:pStyle w:val="Evidence"/>
        <w:keepNext w:val="0"/>
        <w:keepLines/>
      </w:pPr>
      <w:r>
        <w:t>Dossier rozdz. 6.1, 4.2 G2</w:t>
      </w:r>
    </w:p>
    <w:p>
      <w:bookmarkStart w:id="41" w:name="A36"/>
      <w:pPr>
        <w:pStyle w:val="Heading2"/>
      </w:pPr>
      <w:r>
        <w:t>A36 Czujnik biegu wymaga dowodu wykonalności mechanicznej</w:t>
      </w:r>
      <w:bookmarkEnd w:id="41"/>
    </w:p>
    <w:p>
      <w:pPr>
        <w:pStyle w:val="Metadata"/>
        <w:keepNext/>
        <w:keepLines/>
      </w:pPr>
      <w:r>
        <w:t>P1 • Podstawa O • Nowe • Bramka G1 i G2</w:t>
      </w:r>
    </w:p>
    <w:p>
      <w:pPr>
        <w:keepNext w:val="0"/>
        <w:keepLines/>
      </w:pPr>
      <w:r>
        <w:rPr>
          <w:b/>
        </w:rPr>
        <w:t xml:space="preserve">Dowód i ocena </w:t>
      </w:r>
      <w:r>
        <w:t>MLX90316 na bębnie skrzyni opisano jako rozwiązanie odwzorowane z KTM. Dossier nie przedstawia konstrukcji mocowania, magnesu i uszczelnienia na Becie.</w:t>
      </w:r>
    </w:p>
    <w:p>
      <w:pPr>
        <w:keepNext w:val="0"/>
        <w:keepLines/>
      </w:pPr>
      <w:r>
        <w:rPr>
          <w:b/>
        </w:rPr>
        <w:t xml:space="preserve">Skutek </w:t>
      </w:r>
      <w:r>
        <w:t>Podobieństwo zasady pomiaru nie dowodzi zgodności mechaniki. Modyfikacja bębna lub pokrywy może ingerować w motocykl bardziej niż TPS. Pozycja między biegami nie jest dowodem pełnego zazębienia. Kierunek magnesu, tolerancje i temperatura wpływają na granice klas.</w:t>
      </w:r>
    </w:p>
    <w:p>
      <w:pPr>
        <w:keepNext w:val="0"/>
        <w:keepLines/>
      </w:pPr>
      <w:r>
        <w:rPr>
          <w:b/>
        </w:rPr>
        <w:t xml:space="preserve">Zalecenie </w:t>
      </w:r>
      <w:r>
        <w:t>Najpierw sprawdzić mechaniczny dostęp i tolerancje, bez ingerencji w funkcję skrzyni. Zdefiniować kalibrację N i biegów oraz stan niejednoznaczny. Nie wykorzystywać wskazania jako interlocku bezpieczeństwa bez osobnego dowodu.</w:t>
      </w:r>
    </w:p>
    <w:p>
      <w:pPr>
        <w:keepNext w:val="0"/>
        <w:keepLines/>
      </w:pPr>
      <w:r>
        <w:rPr>
          <w:b/>
        </w:rPr>
        <w:t xml:space="preserve">Dowód zamknięcia </w:t>
      </w:r>
      <w:r>
        <w:t>Rysunek mechaniczny i ocena montażu, pomiary całego zakresu zmian oraz błędów magnesu i czujnika. Oddzielić neutral od wskazania pośredniego. Producent potwierdza zasadę czujnika, nie zastosowanie w konkretnym motocyklu.</w:t>
      </w:r>
    </w:p>
    <w:p>
      <w:pPr>
        <w:pStyle w:val="Evidence"/>
        <w:keepNext w:val="0"/>
        <w:keepLines/>
      </w:pPr>
      <w:r>
        <w:t>Dossier rozdz. 6.1, 2.3, 9.2 • Źródła S15</w:t>
      </w:r>
    </w:p>
    <w:p>
      <w:bookmarkStart w:id="42" w:name="A37"/>
      <w:pPr>
        <w:pStyle w:val="Heading2"/>
      </w:pPr>
      <w:r>
        <w:t>A37 Pomiary ratiometryczne potrzebują niezależnego nadzoru szyny</w:t>
      </w:r>
      <w:bookmarkEnd w:id="42"/>
    </w:p>
    <w:p>
      <w:pPr>
        <w:pStyle w:val="Metadata"/>
        <w:keepNext/>
        <w:keepLines/>
      </w:pPr>
      <w:r>
        <w:t>P1 • Podstawa R • Nowe • Bramka G1 i G2</w:t>
      </w:r>
    </w:p>
    <w:p>
      <w:pPr>
        <w:keepNext w:val="0"/>
        <w:keepLines/>
      </w:pPr>
      <w:r>
        <w:rPr>
          <w:b/>
        </w:rPr>
        <w:t xml:space="preserve">Dowód i ocena </w:t>
      </w:r>
      <w:r>
        <w:t>Opis naprawy liniowego regulatora wiąże obniżenie napięcia bezpośrednio z błędem czujników ratiometrycznych. Nie przytoczono źródła odniesienia ADC ani sposobu mierzenia szyny.</w:t>
      </w:r>
    </w:p>
    <w:p>
      <w:pPr>
        <w:keepNext w:val="0"/>
        <w:keepLines/>
      </w:pPr>
      <w:r>
        <w:rPr>
          <w:b/>
        </w:rPr>
        <w:t xml:space="preserve">Skutek </w:t>
      </w:r>
      <w:r>
        <w:t>W idealnym pomiarze ze wspólną proporcjonalną referencją zmiana zasilania może się skompensować. Błąd występuje zależnie od referencji i zakresu pracy czujnika, więc konkretna zależność wymaga schematu. Z kolei użycie uszkodzonej szyny jako odniesienia do badania jej samej może ukryć awarię.</w:t>
      </w:r>
    </w:p>
    <w:p>
      <w:pPr>
        <w:keepNext w:val="0"/>
        <w:keepLines/>
      </w:pPr>
      <w:r>
        <w:rPr>
          <w:b/>
        </w:rPr>
        <w:t xml:space="preserve">Zalecenie </w:t>
      </w:r>
      <w:r>
        <w:t>Dla każdego ADC podać domenę zasilania, referencję, dzielnik, tolerancje, filtr, czas próbkowania i ochronę wejścia. Nadzór krytycznej szyny oprzeć na niezależnym odniesieniu. Rozważyć zwarcie czujnika wpływające na innych odbiorców.</w:t>
      </w:r>
    </w:p>
    <w:p>
      <w:pPr>
        <w:keepNext w:val="0"/>
        <w:keepLines/>
      </w:pPr>
      <w:r>
        <w:rPr>
          <w:b/>
        </w:rPr>
        <w:t xml:space="preserve">Dowód zamknięcia </w:t>
      </w:r>
      <w:r>
        <w:t>Analiza błędów i próby zmian szyn, zwarć do masy i zasilania, przerw mas czujników oraz sygnałów pozostających w zakresie. Ocenić również zasilanie wsteczne przez wejścia po wyłączeniu domeny.</w:t>
      </w:r>
    </w:p>
    <w:p>
      <w:pPr>
        <w:pStyle w:val="Evidence"/>
        <w:keepNext w:val="0"/>
        <w:keepLines/>
      </w:pPr>
      <w:r>
        <w:t>Dossier rozdz. 6.1, 6.4, 7.2 F-002</w:t>
      </w:r>
    </w:p>
    <w:p>
      <w:bookmarkStart w:id="43" w:name="A38"/>
      <w:pPr>
        <w:pStyle w:val="Heading2"/>
      </w:pPr>
      <w:r>
        <w:t>A38 EMC musi wejść do projektu przed integracją z silnikiem</w:t>
      </w:r>
      <w:bookmarkEnd w:id="43"/>
    </w:p>
    <w:p>
      <w:pPr>
        <w:pStyle w:val="Metadata"/>
        <w:keepNext/>
        <w:keepLines/>
      </w:pPr>
      <w:r>
        <w:t>P1 • Podstawa O • Znane z wcześniejszą bramką • Bramka G1 i G2 oraz potwierdzenie G4</w:t>
      </w:r>
    </w:p>
    <w:p>
      <w:pPr>
        <w:keepNext w:val="0"/>
        <w:keepLines/>
      </w:pPr>
      <w:r>
        <w:rPr>
          <w:b/>
        </w:rPr>
        <w:t xml:space="preserve">Dowód i ocena </w:t>
      </w:r>
      <w:r>
        <w:t>Ryzyko EMI przypisano G4, a Faza 3 dopuszcza jedynie sygnały symulowane. Nie przedstawiono architektury powrotów prądowych i ekranowania.</w:t>
      </w:r>
    </w:p>
    <w:p>
      <w:pPr>
        <w:keepNext w:val="0"/>
        <w:keepLines/>
      </w:pPr>
      <w:r>
        <w:rPr>
          <w:b/>
        </w:rPr>
        <w:t xml:space="preserve">Skutek </w:t>
      </w:r>
      <w:r>
        <w:t>Tor zapłonu, zasilanie, masy i wiązka silnie się sprzęgają. Późne wykrycie nieodpornego VR lub resetów może wymusić zmianę PCB i złączy. Cyfrowa symulacja idealnych impulsów nie odtwarza napięć wspólnych, przebiegów VR i sprzężeń od iskry.</w:t>
      </w:r>
    </w:p>
    <w:p>
      <w:pPr>
        <w:keepNext w:val="0"/>
        <w:keepLines/>
      </w:pPr>
      <w:r>
        <w:rPr>
          <w:b/>
        </w:rPr>
        <w:t xml:space="preserve">Zalecenie </w:t>
      </w:r>
      <w:r>
        <w:t>Przed PCB określić rozdział mas mocy i czujników, odprowadzanie energii zakłóceń, filtry, ochronę wejść oraz topologię wiązki. Uzupełnić stanowisko o analogowe VR i reprezentatywne obciążenia indukcyjne.</w:t>
      </w:r>
    </w:p>
    <w:p>
      <w:pPr>
        <w:keepNext w:val="0"/>
        <w:keepLines/>
      </w:pPr>
      <w:r>
        <w:rPr>
          <w:b/>
        </w:rPr>
        <w:t xml:space="preserve">Dowód zamknięcia </w:t>
      </w:r>
      <w:r>
        <w:t>Próby odporności wejść, komunikacji i resetów pod zakłóceniami. Kontrolować także nieplanowane iskry i fałszywe zadziałania K4. Końcowa integracja na silniku pozostaje G4, lecz podstawowe decyzje muszą przejść wcześniej.</w:t>
      </w:r>
    </w:p>
    <w:p>
      <w:pPr>
        <w:pStyle w:val="Evidence"/>
        <w:keepNext w:val="0"/>
        <w:keepLines/>
      </w:pPr>
      <w:r>
        <w:t>Dossier rozdz. 4.1, 8.3 R2</w:t>
      </w:r>
    </w:p>
    <w:p>
      <w:bookmarkStart w:id="44" w:name="A39"/>
      <w:pPr>
        <w:pStyle w:val="Heading2"/>
      </w:pPr>
      <w:r>
        <w:t>A39 Czarna skrzynka wymaga bilansu zapisu i ochrony danych zdarzenia</w:t>
      </w:r>
      <w:bookmarkEnd w:id="44"/>
    </w:p>
    <w:p>
      <w:pPr>
        <w:pStyle w:val="Metadata"/>
        <w:keepNext/>
        <w:keepLines/>
      </w:pPr>
      <w:r>
        <w:t>P1 • Podstawa O • Znane rozszerzone • Bramka Punkty D i F oraz G3</w:t>
      </w:r>
    </w:p>
    <w:p>
      <w:pPr>
        <w:keepNext w:val="0"/>
        <w:keepLines/>
      </w:pPr>
      <w:r>
        <w:rPr>
          <w:b/>
        </w:rPr>
        <w:t xml:space="preserve">Dowód i ocena </w:t>
      </w:r>
      <w:r>
        <w:t>8 MB ma zapewniać około 17 minut zapisu ciągłego. Nie określono rekordów, częstotliwości, narzutu, zużycia flash ani zachowania po zaniku zasilania.</w:t>
      </w:r>
    </w:p>
    <w:p>
      <w:pPr>
        <w:keepNext w:val="0"/>
        <w:keepLines/>
      </w:pPr>
      <w:r>
        <w:rPr>
          <w:b/>
        </w:rPr>
        <w:t xml:space="preserve">Skutek </w:t>
      </w:r>
      <w:r>
        <w:t>Taki czas odpowiada około 7,84 kB/s dla 8 MB lub 8,22 kB/s dla 8 MiB, przed narzutem. Zapis po wypadku może nie istnieć, jeśli zdarzenie odłączy akumulator. Kasowanie flash i transfery mogą zabierać czas funkcjom zapłonu.</w:t>
      </w:r>
    </w:p>
    <w:p>
      <w:pPr>
        <w:keepNext w:val="0"/>
        <w:keepLines/>
      </w:pPr>
      <w:r>
        <w:rPr>
          <w:b/>
        </w:rPr>
        <w:t xml:space="preserve">Zalecenie </w:t>
      </w:r>
      <w:r>
        <w:t>Zdefiniować format, rezerwę, bufor pierścieniowy, atomowy znacznik zdarzenia, liczbę zachowanych zdarzeń i zasady nadpisywania. Ustalić realistyczne okno po zdarzeniu oraz wymagane podtrzymanie zasilania albo zaakceptować jego brak.</w:t>
      </w:r>
    </w:p>
    <w:p>
      <w:pPr>
        <w:keepNext w:val="0"/>
        <w:keepLines/>
      </w:pPr>
      <w:r>
        <w:rPr>
          <w:b/>
        </w:rPr>
        <w:t xml:space="preserve">Dowód zamknięcia </w:t>
      </w:r>
      <w:r>
        <w:t>Testy zapełnienia, powtarzanych zdarzeń, przerwania zasilania podczas zapisu i kasowania oraz odczytu w aplikacji. Harmonogram zapłonu ma spełniać wymagania również przy maksymalnym obciążeniu logowaniem.</w:t>
      </w:r>
    </w:p>
    <w:p>
      <w:pPr>
        <w:pStyle w:val="Evidence"/>
        <w:keepNext w:val="0"/>
        <w:keepLines/>
      </w:pPr>
      <w:r>
        <w:t>Dossier rozdz. 2.3, 8.1 ECU-LOG-006</w:t>
      </w:r>
    </w:p>
    <w:p>
      <w:bookmarkStart w:id="45" w:name="A40"/>
      <w:pPr>
        <w:pStyle w:val="Heading2"/>
      </w:pPr>
      <w:r>
        <w:t>A40 Protokół i aplikacja muszą chronić semantykę komend</w:t>
      </w:r>
      <w:bookmarkEnd w:id="45"/>
    </w:p>
    <w:p>
      <w:pPr>
        <w:pStyle w:val="Metadata"/>
        <w:keepNext/>
        <w:keepLines/>
      </w:pPr>
      <w:r>
        <w:t>P1 • Podstawa O • Znane rozszerzone • Bramka G1 i Faza 2-Desktop</w:t>
      </w:r>
    </w:p>
    <w:p>
      <w:pPr>
        <w:keepNext w:val="0"/>
        <w:keepLines/>
      </w:pPr>
      <w:r>
        <w:rPr>
          <w:b/>
        </w:rPr>
        <w:t xml:space="preserve">Dowód i ocena </w:t>
      </w:r>
      <w:r>
        <w:t>CAN i USB są otwartą pozycją P0 poprzedniego audytu. Aplikacja ma tylko jedno przytoczone wymaganie, a przypadki użycia odłożono do projektowania.</w:t>
      </w:r>
    </w:p>
    <w:p>
      <w:pPr>
        <w:keepNext w:val="0"/>
        <w:keepLines/>
      </w:pPr>
      <w:r>
        <w:rPr>
          <w:b/>
        </w:rPr>
        <w:t xml:space="preserve">Skutek </w:t>
      </w:r>
      <w:r>
        <w:t>Wersjonowanie major.minor.patch nie definiuje jednostek, kolejności bajtów, świeżości, własności sesji i rozstrzygania powtórzeń. Poprawna CRC ramki nie chroni przed prawidłową składniowo komendą z nieprawidłowym znaczeniem. Stara aplikacja może zapisać błędne dane.</w:t>
      </w:r>
    </w:p>
    <w:p>
      <w:pPr>
        <w:keepNext w:val="0"/>
        <w:keepLines/>
      </w:pPr>
      <w:r>
        <w:rPr>
          <w:b/>
        </w:rPr>
        <w:t xml:space="preserve">Zalecenie </w:t>
      </w:r>
      <w:r>
        <w:t>Przed formatem transportu opisać operacje, role i blokady ECU. Ustalić zgodność schematów, transakcje, potwierdzenia, idempotencję, timeouty i limity obciążenia. Ująć Windows, odłączenie kabla, błędny sterownik, kilka klientów, import map i odzyskanie sesji.</w:t>
      </w:r>
    </w:p>
    <w:p>
      <w:pPr>
        <w:keepNext w:val="0"/>
        <w:keepLines/>
      </w:pPr>
      <w:r>
        <w:rPr>
          <w:b/>
        </w:rPr>
        <w:t xml:space="preserve">Dowód zamknięcia </w:t>
      </w:r>
      <w:r>
        <w:t>Specyfikacja operacji i ramek oraz próby złych jednostek i wersji, powtórzeń, utraty pakietów, przeciążenia i złośliwych lub przypadkowo uszkodzonych danych. Blokady w ECU nie mogą zależeć tylko od interfejsu aplikacji.</w:t>
      </w:r>
    </w:p>
    <w:p>
      <w:pPr>
        <w:pStyle w:val="Evidence"/>
        <w:keepNext w:val="0"/>
        <w:keepLines/>
      </w:pPr>
      <w:r>
        <w:t>Dossier rozdz. 8.1 SYS-COM-004, 8.2, 10 krok 4</w:t>
      </w:r>
    </w:p>
    <w:p>
      <w:bookmarkStart w:id="46" w:name="s6"/>
      <w:pPr>
        <w:pStyle w:val="Heading1"/>
      </w:pPr>
      <w:r>
        <w:t>6 Ustalenia dotyczące procesu i planu</w:t>
      </w:r>
      <w:bookmarkEnd w:id="46"/>
    </w:p>
    <w:p>
      <w:pPr>
        <w:keepNext w:val="0"/>
        <w:keepLines/>
      </w:pPr>
      <w:r>
        <w:t>Pozycje A41–A50 oceniają rzeczywiste wdrożenie procesu. Odnotowane obowiązki są potrzebne, lecz zamknięcie musi wynikać z mechanizmu i zaakceptowanego dowodu, nie wyłącznie ze zmiany statusu w tabeli.</w:t>
      </w:r>
    </w:p>
    <w:p>
      <w:bookmarkStart w:id="47" w:name="A41"/>
      <w:pPr>
        <w:pStyle w:val="Heading2"/>
      </w:pPr>
      <w:r>
        <w:t>A41 L34 pozostaje otwarte do wdrożenia repozytorium</w:t>
      </w:r>
      <w:bookmarkEnd w:id="47"/>
    </w:p>
    <w:p>
      <w:pPr>
        <w:pStyle w:val="Metadata"/>
        <w:keepNext/>
        <w:keepLines/>
      </w:pPr>
      <w:r>
        <w:t>P1 • Podstawa B • Znane potwierdzone • Bramka Teraz i przed G0</w:t>
      </w:r>
    </w:p>
    <w:p>
      <w:pPr>
        <w:keepNext w:val="0"/>
        <w:keepLines/>
      </w:pPr>
      <w:r>
        <w:rPr>
          <w:b/>
        </w:rPr>
        <w:t xml:space="preserve">Dowód i ocena </w:t>
      </w:r>
      <w:r>
        <w:t>L34 oznaczono jako zamknięte, lecz w 9.1 wprost zapisano, że repozytorium nie istnieje, a dokumenty są nadpisywane w miejscu.</w:t>
      </w:r>
    </w:p>
    <w:p>
      <w:pPr>
        <w:keepNext w:val="0"/>
        <w:keepLines/>
      </w:pPr>
      <w:r>
        <w:rPr>
          <w:b/>
        </w:rPr>
        <w:t xml:space="preserve">Skutek </w:t>
      </w:r>
      <w:r>
        <w:t>Obowiązek tworzenia repozytorium nie zapewnia historii, odtwarzalnego baseline ani ochrony pracy. To sprzeczność statusu z opisem stanu rzeczywistego, a nie tylko przyszła praca. Tag również nie zastępuje kopii zapasowej.</w:t>
      </w:r>
    </w:p>
    <w:p>
      <w:pPr>
        <w:keepNext w:val="0"/>
        <w:keepLines/>
      </w:pPr>
      <w:r>
        <w:rPr>
          <w:b/>
        </w:rPr>
        <w:t xml:space="preserve">Zalecenie </w:t>
      </w:r>
      <w:r>
        <w:t>Przywrócić status w trakcie do czasu utworzenia repozytorium, importu aktualnych dokumentów i wdrożenia odzyskiwania. Rozdzielić decyzję o mechanizmie, jego wdrożenie i sprawdzenie. Chronić baseline przed cichym przesuwaniem znacznika.</w:t>
      </w:r>
    </w:p>
    <w:p>
      <w:pPr>
        <w:keepNext w:val="0"/>
        <w:keepLines/>
      </w:pPr>
      <w:r>
        <w:rPr>
          <w:b/>
        </w:rPr>
        <w:t xml:space="preserve">Dowód zamknięcia </w:t>
      </w:r>
      <w:r>
        <w:t>Identyfikator commitu, działająca kopia poza środowiskiem pracy i próba odtworzenia pełnego pakietu. Kontrola sum oraz wersji wszystkich plików musi towarzyszyć zatwierdzeniu bramki.</w:t>
      </w:r>
    </w:p>
    <w:p>
      <w:pPr>
        <w:pStyle w:val="Evidence"/>
        <w:keepNext w:val="0"/>
        <w:keepLines/>
      </w:pPr>
      <w:r>
        <w:t>Dossier rozdz. 9.0, 9.1</w:t>
      </w:r>
    </w:p>
    <w:p>
      <w:bookmarkStart w:id="48" w:name="A42"/>
      <w:pPr>
        <w:pStyle w:val="Heading2"/>
      </w:pPr>
      <w:r>
        <w:t>A42 L36 i L37 mają status decyzji a nie pełnego zamknięcia</w:t>
      </w:r>
      <w:bookmarkEnd w:id="48"/>
    </w:p>
    <w:p>
      <w:pPr>
        <w:pStyle w:val="Metadata"/>
        <w:keepNext/>
        <w:keepLines/>
      </w:pPr>
      <w:r>
        <w:t>P1 • Podstawa B • Znane potwierdzone • Bramka L37 przed G0 a L36 przed pierwszym firmware</w:t>
      </w:r>
    </w:p>
    <w:p>
      <w:pPr>
        <w:keepNext w:val="0"/>
        <w:keepLines/>
      </w:pPr>
      <w:r>
        <w:rPr>
          <w:b/>
        </w:rPr>
        <w:t xml:space="preserve">Dowód i ocena </w:t>
      </w:r>
      <w:r>
        <w:t>L36 zamknięto co do obowiązku bez standardu, narzędzi i progów. L37 zamknięto co do treści, mimo że A1–A12 pozostają niezatwierdzoną propozycją.</w:t>
      </w:r>
    </w:p>
    <w:p>
      <w:pPr>
        <w:keepNext w:val="0"/>
        <w:keepLines/>
      </w:pPr>
      <w:r>
        <w:rPr>
          <w:b/>
        </w:rPr>
        <w:t xml:space="preserve">Skutek </w:t>
      </w:r>
      <w:r>
        <w:t>Status zamknięte zaciera pozostające warunki. Analiza statyczna przy każdej zmianie nie działa bez konfiguracji i kryterium wyniku. Nieprzyjęte kryteria akceptacji nie są obowiązującą definicją odbioru wyrobu.</w:t>
      </w:r>
    </w:p>
    <w:p>
      <w:pPr>
        <w:keepNext w:val="0"/>
        <w:keepLines/>
      </w:pPr>
      <w:r>
        <w:rPr>
          <w:b/>
        </w:rPr>
        <w:t xml:space="preserve">Zalecenie </w:t>
      </w:r>
      <w:r>
        <w:t>Wprowadzić osobne statusy: decyzja przyjęta, mechanizm wdrożony i dowód zaakceptowany. Zatwierdzić mierzalne kryteria wyrobu, a przed kodem ustalić standard, zestaw reguł, obsługę odstępstw, narzędzia i kryteria testów.</w:t>
      </w:r>
    </w:p>
    <w:p>
      <w:pPr>
        <w:keepNext w:val="0"/>
        <w:keepLines/>
      </w:pPr>
      <w:r>
        <w:rPr>
          <w:b/>
        </w:rPr>
        <w:t xml:space="preserve">Dowód zamknięcia </w:t>
      </w:r>
      <w:r>
        <w:t>Zatwierdzone kryteria z mapowaniem na wymagania oraz rzeczywista konfiguracja analiz i budowania. Dostarczone dossier nie pozwala ocenić samej treści A1–A12, jedynie ich status.</w:t>
      </w:r>
    </w:p>
    <w:p>
      <w:pPr>
        <w:pStyle w:val="Evidence"/>
        <w:keepNext w:val="0"/>
        <w:keepLines/>
      </w:pPr>
      <w:r>
        <w:t>Dossier rozdz. 5.2, 9.0, 9.1</w:t>
      </w:r>
    </w:p>
    <w:p>
      <w:bookmarkStart w:id="49" w:name="A43"/>
      <w:pPr>
        <w:pStyle w:val="Heading2"/>
      </w:pPr>
      <w:r>
        <w:t>A43 G0 potrzebuje jawnego zakresu MVP A</w:t>
      </w:r>
      <w:bookmarkEnd w:id="49"/>
    </w:p>
    <w:p>
      <w:pPr>
        <w:pStyle w:val="Metadata"/>
        <w:keepNext/>
        <w:keepLines/>
      </w:pPr>
      <w:r>
        <w:t>P1 • Podstawa B • Nowe • Bramka G0</w:t>
      </w:r>
    </w:p>
    <w:p>
      <w:pPr>
        <w:keepNext w:val="0"/>
        <w:keepLines/>
      </w:pPr>
      <w:r>
        <w:rPr>
          <w:b/>
        </w:rPr>
        <w:t xml:space="preserve">Dowód i ocena </w:t>
      </w:r>
      <w:r>
        <w:t>Projektowany jest tylko MVP-A, lecz lista blokująca G0 zawiera parametry wtrysku i TPS dotyczące B/C. Inne wartości G0 mają powstać dopiero po Fazie 4 lub pomiarach.</w:t>
      </w:r>
    </w:p>
    <w:p>
      <w:pPr>
        <w:keepNext w:val="0"/>
        <w:keepLines/>
      </w:pPr>
      <w:r>
        <w:rPr>
          <w:b/>
        </w:rPr>
        <w:t xml:space="preserve">Skutek </w:t>
      </w:r>
      <w:r>
        <w:t>Bramka może stać się niemożliwa do zamknięcia w deklarowanej kolejności. Wymaganie odbiorowe, wartość kalibracji i przyszła zdolność sprzętowa mają różne terminy dojrzałości. Każda otwarta wartość powinna mieć świadome znaczenie, a nie tylko wpis Faza 4.</w:t>
      </w:r>
    </w:p>
    <w:p>
      <w:pPr>
        <w:keepNext w:val="0"/>
        <w:keepLines/>
      </w:pPr>
      <w:r>
        <w:rPr>
          <w:b/>
        </w:rPr>
        <w:t xml:space="preserve">Zalecenie </w:t>
      </w:r>
      <w:r>
        <w:t>Utworzyć baseline MVP-A z jawnie wyłączonymi B/C oraz minimalnym kontraktem rezerw sprzętowych. Wymagane limity i metody odbioru ustalić przed G0. Dane fizycznie konieczne do ich ustalenia zdobyć wcześniej. Kalibracje zależne od egzemplarza pozostawić jako kontrolowane wyniki późniejszych faz.</w:t>
      </w:r>
    </w:p>
    <w:p>
      <w:pPr>
        <w:keepNext w:val="0"/>
        <w:keepLines/>
      </w:pPr>
      <w:r>
        <w:rPr>
          <w:b/>
        </w:rPr>
        <w:t xml:space="preserve">Dowód zamknięcia </w:t>
      </w:r>
      <w:r>
        <w:t>Lista wymagań bramki G0 zawierająca zakres, wartość lub zasadę kalibracji, źródło i decyzję. Przeklasyfikowanie B/C nie może ukryć wymagania potrzebnego do doboru wspólnego sprzętu.</w:t>
      </w:r>
    </w:p>
    <w:p>
      <w:pPr>
        <w:pStyle w:val="Evidence"/>
        <w:keepNext w:val="0"/>
        <w:keepLines/>
      </w:pPr>
      <w:r>
        <w:t>Dossier rozdz. 2.2, 4.2, 5.1, 8.1</w:t>
      </w:r>
    </w:p>
    <w:p>
      <w:bookmarkStart w:id="50" w:name="A44"/>
      <w:pPr>
        <w:pStyle w:val="Heading2"/>
      </w:pPr>
      <w:r>
        <w:t>A44 Pokrycie 105 na 105 nie dowodzi kompletności funkcjonalnej</w:t>
      </w:r>
      <w:bookmarkEnd w:id="50"/>
    </w:p>
    <w:p>
      <w:pPr>
        <w:pStyle w:val="Metadata"/>
        <w:keepNext/>
        <w:keepLines/>
      </w:pPr>
      <w:r>
        <w:t>P1 • Podstawa B • Znane potwierdzone • Bramka G0 i przed każdą bramką</w:t>
      </w:r>
    </w:p>
    <w:p>
      <w:pPr>
        <w:keepNext w:val="0"/>
        <w:keepLines/>
      </w:pPr>
      <w:r>
        <w:rPr>
          <w:b/>
        </w:rPr>
        <w:t xml:space="preserve">Dowód i ocena </w:t>
      </w:r>
      <w:r>
        <w:t>105/105 oznacza pokrycie istniejących identyfikatorów. Jednocześnie wymieniono funkcje bez wymagań, np. bootloader, wentylator, przełączanie map i przebieg.</w:t>
      </w:r>
    </w:p>
    <w:p>
      <w:pPr>
        <w:keepNext w:val="0"/>
        <w:keepLines/>
      </w:pPr>
      <w:r>
        <w:rPr>
          <w:b/>
        </w:rPr>
        <w:t xml:space="preserve">Skutek </w:t>
      </w:r>
      <w:r>
        <w:t>Licznik może być poprawny arytmetycznie i nadal pomijać część wyrobu. 107 nazw testów nie dowodzi jakości przypadków ani wykonania. Dossier poprawnie rozróżnia zero wykonanych dowodów; należy utrzymać tę uczciwą interpretację.</w:t>
      </w:r>
    </w:p>
    <w:p>
      <w:pPr>
        <w:keepNext w:val="0"/>
        <w:keepLines/>
      </w:pPr>
      <w:r>
        <w:rPr>
          <w:b/>
        </w:rPr>
        <w:t xml:space="preserve">Zalecenie </w:t>
      </w:r>
      <w:r>
        <w:t>Dodać pokrycie przypadków użycia i zagrożeń przez wymagania, a następnie wymaganie–projekt–implementacja–test–wynik. Pokazywać osobno zakres objęty specyfikacją, zaplanowane testy i zaakceptowane wyniki.</w:t>
      </w:r>
    </w:p>
    <w:p>
      <w:pPr>
        <w:keepNext w:val="0"/>
        <w:keepLines/>
      </w:pPr>
      <w:r>
        <w:rPr>
          <w:b/>
        </w:rPr>
        <w:t xml:space="preserve">Dowód zamknięcia </w:t>
      </w:r>
      <w:r>
        <w:t>Przegląd od każdej funkcji wyrobu i zagrożenia do wymagania. Dowód zamknięcia konkretnego testu musi obejmować konfigurację, dane, warunki i kryterium akceptacji.</w:t>
      </w:r>
    </w:p>
    <w:p>
      <w:pPr>
        <w:pStyle w:val="Evidence"/>
        <w:keepNext w:val="0"/>
        <w:keepLines/>
      </w:pPr>
      <w:r>
        <w:t>Dossier rozdz. 5.2, 8.2, 11</w:t>
      </w:r>
    </w:p>
    <w:p>
      <w:bookmarkStart w:id="51" w:name="A45"/>
      <w:pPr>
        <w:pStyle w:val="Heading2"/>
      </w:pPr>
      <w:r>
        <w:t>A45 Zasady przeciw błędom potrzebują egzekwowania</w:t>
      </w:r>
      <w:bookmarkEnd w:id="51"/>
    </w:p>
    <w:p>
      <w:pPr>
        <w:pStyle w:val="Metadata"/>
        <w:keepNext/>
        <w:keepLines/>
      </w:pPr>
      <w:r>
        <w:t>P1 • Podstawa O • Znane rozszerzone • Bramka G0 i G1</w:t>
      </w:r>
    </w:p>
    <w:p>
      <w:pPr>
        <w:keepNext w:val="0"/>
        <w:keepLines/>
      </w:pPr>
      <w:r>
        <w:rPr>
          <w:b/>
        </w:rPr>
        <w:t xml:space="preserve">Dowód i ocena </w:t>
      </w:r>
      <w:r>
        <w:t>Rejestr założeń ujawnił brak TPS. Pozostałe zasady wymagają weryfikacji kart i testów negatywnych, ale nie określono mechanizmu blokowania zatwierdzeń bez tych dowodów.</w:t>
      </w:r>
    </w:p>
    <w:p>
      <w:pPr>
        <w:keepNext w:val="0"/>
        <w:keepLines/>
      </w:pPr>
      <w:r>
        <w:rPr>
          <w:b/>
        </w:rPr>
        <w:t xml:space="preserve">Skutek </w:t>
      </w:r>
      <w:r>
        <w:t>Lista reguł nadal może być omijana przez tekst brzmiący jak potwierdzony fakt. Wyłączenie elementów biernych z przeglądu jest zbyt szerokie: RC watchdoga, rezystory kill switcha, boczniki, filtry VR i dzielniki ADC wpływają na bezpieczeństwo.</w:t>
      </w:r>
    </w:p>
    <w:p>
      <w:pPr>
        <w:keepNext w:val="0"/>
        <w:keepLines/>
      </w:pPr>
      <w:r>
        <w:rPr>
          <w:b/>
        </w:rPr>
        <w:t xml:space="preserve">Zalecenie </w:t>
      </w:r>
      <w:r>
        <w:t>Dla decyzji stosować obowiązkowe pola: twierdzenie, dokładne źródło i warunki, założenie, konsekwencja obalenia, przypadek negatywny, dowód i zatwierdzający. Każdy istotny element bierny obejmować przeglądem. Automatycznie wykrywać osierocone odwołania i brakujące pola.</w:t>
      </w:r>
    </w:p>
    <w:p>
      <w:pPr>
        <w:keepNext w:val="0"/>
        <w:keepLines/>
      </w:pPr>
      <w:r>
        <w:rPr>
          <w:b/>
        </w:rPr>
        <w:t xml:space="preserve">Dowód zamknięcia </w:t>
      </w:r>
      <w:r>
        <w:t>Próba wprowadzenia celowo nieudokumentowanego parametru i fałszywego założenia ma zatrzymać workflow. Sprawdzić zastosowanie zasad na nowych problemach EN, VR i BMI, nie jedynie na dawnych przykładach.</w:t>
      </w:r>
    </w:p>
    <w:p>
      <w:pPr>
        <w:pStyle w:val="Evidence"/>
        <w:keepNext w:val="0"/>
        <w:keepLines/>
      </w:pPr>
      <w:r>
        <w:t>Dossier rozdz. 3, 4.3 zasady 5 i 10 oraz 14–17, 9.3</w:t>
      </w:r>
    </w:p>
    <w:p>
      <w:bookmarkStart w:id="52" w:name="A46"/>
      <w:pPr>
        <w:pStyle w:val="Heading2"/>
      </w:pPr>
      <w:r>
        <w:t>A46 Przegląd modelu nie jest niezależnym przeglądem ludzkim</w:t>
      </w:r>
      <w:bookmarkEnd w:id="52"/>
    </w:p>
    <w:p>
      <w:pPr>
        <w:pStyle w:val="Metadata"/>
        <w:keepNext/>
        <w:keepLines/>
      </w:pPr>
      <w:r>
        <w:t>P1 • Podstawa B • Nowe • Bramka G1 i G2 dla bezpieczeństwa oraz G3 dla kodu</w:t>
      </w:r>
    </w:p>
    <w:p>
      <w:pPr>
        <w:keepNext w:val="0"/>
        <w:keepLines/>
      </w:pPr>
      <w:r>
        <w:rPr>
          <w:b/>
        </w:rPr>
        <w:t xml:space="preserve">Dowód i ocena </w:t>
      </w:r>
      <w:r>
        <w:t>Dossier mówi, że audyt zewnętrzny jest jedynym mechanizmem niezależnego przeglądu ludzkiego. Opracowanie tego raportu jest analizą wspieraną modelem, nie oceną drugiego inżyniera na stanowisku.</w:t>
      </w:r>
    </w:p>
    <w:p>
      <w:pPr>
        <w:keepNext w:val="0"/>
        <w:keepLines/>
      </w:pPr>
      <w:r>
        <w:rPr>
          <w:b/>
        </w:rPr>
        <w:t xml:space="preserve">Skutek </w:t>
      </w:r>
      <w:r>
        <w:t>Inny model może znaleźć błędy, ale nie zastępuje wskazanego mechanizmu ludzkiego. Ta sama osoba może zaakceptować własne założenie w kilku rolach. Sam wynik analizy statycznej lub procent pokrycia nie dowodzi odporności funkcji zapłonu.</w:t>
      </w:r>
    </w:p>
    <w:p>
      <w:pPr>
        <w:keepNext w:val="0"/>
        <w:keepLines/>
      </w:pPr>
      <w:r>
        <w:rPr>
          <w:b/>
        </w:rPr>
        <w:t xml:space="preserve">Zalecenie </w:t>
      </w:r>
      <w:r>
        <w:t>Dla małego zespołu zamówić punktowy przegląd toru energii, odcięcia i synchronizacji przez drugiego kompetentnego inżyniera przed uruchomieniem. Dla logiki krytycznej stosować testy własności, granic i wstrzyknięć usterek oraz ocenę rzeczywistej skuteczności testów.</w:t>
      </w:r>
    </w:p>
    <w:p>
      <w:pPr>
        <w:keepNext w:val="0"/>
        <w:keepLines/>
      </w:pPr>
      <w:r>
        <w:rPr>
          <w:b/>
        </w:rPr>
        <w:t xml:space="preserve">Dowód zamknięcia </w:t>
      </w:r>
      <w:r>
        <w:t>Imienny zapis przeglądu i rozstrzygnięte uwagi dotyczące bezpieczeństwa. Oddzielić autora, zatwierdzającego decyzję i niezależnego recenzenta. Ten raport nie zamyka sam warunku przeglądu ludzkiego.</w:t>
      </w:r>
    </w:p>
    <w:p>
      <w:pPr>
        <w:pStyle w:val="Evidence"/>
        <w:keepNext w:val="0"/>
        <w:keepLines/>
      </w:pPr>
      <w:r>
        <w:t>Dossier rozdz. 3</w:t>
      </w:r>
    </w:p>
    <w:p>
      <w:bookmarkStart w:id="53" w:name="A47"/>
      <w:pPr>
        <w:pStyle w:val="Heading2"/>
      </w:pPr>
      <w:r>
        <w:t>A47 Wyposażenie i budżet muszą poprzedzać zobowiązania projektowe</w:t>
      </w:r>
      <w:bookmarkEnd w:id="53"/>
    </w:p>
    <w:p>
      <w:pPr>
        <w:pStyle w:val="Metadata"/>
        <w:keepNext/>
        <w:keepLines/>
      </w:pPr>
      <w:r>
        <w:t>P1 • Podstawa O • Znane potwierdzone • Bramka G0 dla wykonalności i G2 dla dostępności</w:t>
      </w:r>
    </w:p>
    <w:p>
      <w:pPr>
        <w:keepNext w:val="0"/>
        <w:keepLines/>
      </w:pPr>
      <w:r>
        <w:rPr>
          <w:b/>
        </w:rPr>
        <w:t xml:space="preserve">Dowód i ocena </w:t>
      </w:r>
      <w:r>
        <w:t>72 z 107 testów przypadają na Fazę 6, a plan wyposażenia i oszacowanie kosztu nie powstały. Wymaganie rozsądku budżetowego ma przejść przez G0 bez weryfikacji.</w:t>
      </w:r>
    </w:p>
    <w:p>
      <w:pPr>
        <w:keepNext w:val="0"/>
        <w:keepLines/>
      </w:pPr>
      <w:r>
        <w:rPr>
          <w:b/>
        </w:rPr>
        <w:t xml:space="preserve">Skutek </w:t>
      </w:r>
      <w:r>
        <w:t>Szczegółowy koszt finalnego BOM może powstać później, ale koszt orientacyjny i dostęp do pomiarów decydują o wykonalności już teraz. Niektóre kryteria mogą okazać się nieweryfikowalne posiadanym sprzętem. Nie jest to ocena komercyjna wyrobu, lecz ryzyko realizacji.</w:t>
      </w:r>
    </w:p>
    <w:p>
      <w:pPr>
        <w:keepNext w:val="0"/>
        <w:keepLines/>
      </w:pPr>
      <w:r>
        <w:rPr>
          <w:b/>
        </w:rPr>
        <w:t xml:space="preserve">Zalecenie </w:t>
      </w:r>
      <w:r>
        <w:t>Przygotować przed G0 widełki BOM, narzędzi, stanowiska, mechaniki i zewnętrznych badań. Dla każdego testu określić wymagany przyrząd, niepewność, pasmo, koszt oraz dostępność. Przed G2 zapewnić wyposażenie konieczne do potwierdzenia projektu.</w:t>
      </w:r>
    </w:p>
    <w:p>
      <w:pPr>
        <w:keepNext w:val="0"/>
        <w:keepLines/>
      </w:pPr>
      <w:r>
        <w:rPr>
          <w:b/>
        </w:rPr>
        <w:t xml:space="preserve">Dowód zamknięcia </w:t>
      </w:r>
      <w:r>
        <w:t>Budżet z marginesem i plan stanowisk. Dla pomiaru kąta wykazać, że całkowita niepewność toru jest istotnie mniejsza od limitu, a niezależne odniesienie nie korzysta z badanego kondycjonera.</w:t>
      </w:r>
    </w:p>
    <w:p>
      <w:pPr>
        <w:pStyle w:val="Evidence"/>
        <w:keepNext w:val="0"/>
        <w:keepLines/>
      </w:pPr>
      <w:r>
        <w:t>Dossier rozdz. 8.3 R16, 9.1 L38</w:t>
      </w:r>
    </w:p>
    <w:p>
      <w:bookmarkStart w:id="54" w:name="A48"/>
      <w:pPr>
        <w:pStyle w:val="Heading2"/>
      </w:pPr>
      <w:r>
        <w:t>A48 Kolejność prac odkłada dane krytyczne za późno</w:t>
      </w:r>
      <w:bookmarkEnd w:id="54"/>
    </w:p>
    <w:p>
      <w:pPr>
        <w:pStyle w:val="Metadata"/>
        <w:keepNext/>
        <w:keepLines/>
      </w:pPr>
      <w:r>
        <w:t>P1 • Podstawa B • Nowe • Bramka Korekta planu przed dalszym zamykaniem punktów</w:t>
      </w:r>
    </w:p>
    <w:p>
      <w:pPr>
        <w:keepNext w:val="0"/>
        <w:keepLines/>
      </w:pPr>
      <w:r>
        <w:rPr>
          <w:b/>
        </w:rPr>
        <w:t xml:space="preserve">Dowód i ocena </w:t>
      </w:r>
      <w:r>
        <w:t>Kontakt z motocyklem dopuszczono dopiero w Fazie 8 na gotowym PCB, mimo że kluczowe założenia wymagają poznania rzeczywistej cewki i VR. Punkt H nazwano ostatnią pozycją P0 blokującą G0.</w:t>
      </w:r>
    </w:p>
    <w:p>
      <w:pPr>
        <w:keepNext w:val="0"/>
        <w:keepLines/>
      </w:pPr>
      <w:r>
        <w:rPr>
          <w:b/>
        </w:rPr>
        <w:t xml:space="preserve">Skutek </w:t>
      </w:r>
      <w:r>
        <w:t>Wymagania bootloadera powinny poprzedzać G0, chociaż jego szczegółowa implementacja zależy od D. Po H nadal pozostają otwarte wartości i funkcje. Rozwijanie strategii wtrysku B/C przed domknięciem MVP-A zwiększa zakres bez potrzebnych specyfikacji.</w:t>
      </w:r>
    </w:p>
    <w:p>
      <w:pPr>
        <w:keepNext w:val="0"/>
        <w:keepLines/>
      </w:pPr>
      <w:r>
        <w:rPr>
          <w:b/>
        </w:rPr>
        <w:t xml:space="preserve">Zalecenie </w:t>
      </w:r>
      <w:r>
        <w:t>Wydzielić wcześniejszą charakterystykę motocykla bez sterowania nim przez nowe ECU. Zachować zasadę późnej aktywnej integracji, lecz dopuścić pasywne pomiary OEM. Rozdzielić wymagania H przed G0 od projektu H po D. Odłożyć strategie wtrysku do osobnych projektów B/C.</w:t>
      </w:r>
    </w:p>
    <w:p>
      <w:pPr>
        <w:keepNext w:val="0"/>
        <w:keepLines/>
      </w:pPr>
      <w:r>
        <w:rPr>
          <w:b/>
        </w:rPr>
        <w:t xml:space="preserve">Dowód zamknięcia </w:t>
      </w:r>
      <w:r>
        <w:t>Zaktualizowany plan zależności i dowody danych wejściowych przed PCB. Zmienić opis ostatniej pozycji P0 na wykaz rzeczywistych warunków G0. Pozwolić na badania wykonalności, bez uznawania ich za firmware produkcyjny.</w:t>
      </w:r>
    </w:p>
    <w:p>
      <w:pPr>
        <w:pStyle w:val="Evidence"/>
        <w:keepNext w:val="0"/>
        <w:keepLines/>
      </w:pPr>
      <w:r>
        <w:t>Dossier rozdz. 4.1, 10</w:t>
      </w:r>
    </w:p>
    <w:p>
      <w:bookmarkStart w:id="55" w:name="A49"/>
      <w:pPr>
        <w:pStyle w:val="Heading2"/>
      </w:pPr>
      <w:r>
        <w:t>A49 Środowisko pracy wymaga profilu dla kompletnego wyrobu</w:t>
      </w:r>
      <w:bookmarkEnd w:id="55"/>
    </w:p>
    <w:p>
      <w:pPr>
        <w:pStyle w:val="Metadata"/>
        <w:keepNext/>
        <w:keepLines/>
      </w:pPr>
      <w:r>
        <w:t>P1 • Podstawa O • Znane rozszerzone • Bramka G0 i G2 oraz walidacja G5</w:t>
      </w:r>
    </w:p>
    <w:p>
      <w:pPr>
        <w:keepNext w:val="0"/>
        <w:keepLines/>
      </w:pPr>
      <w:r>
        <w:rPr>
          <w:b/>
        </w:rPr>
        <w:t xml:space="preserve">Dowód i ocena </w:t>
      </w:r>
      <w:r>
        <w:t>Profil wibracji nie jest ustalony. Dossier podaje zakres temperaturowy MCU, ale nie pełną obwiednię pracy ECU, HMI, złączy i wiązki.</w:t>
      </w:r>
    </w:p>
    <w:p>
      <w:pPr>
        <w:keepNext w:val="0"/>
        <w:keepLines/>
      </w:pPr>
      <w:r>
        <w:rPr>
          <w:b/>
        </w:rPr>
        <w:t xml:space="preserve">Skutek </w:t>
      </w:r>
      <w:r>
        <w:t>Woda, mycie, kondensacja, drgania, udary, błoto, korozja i naprężenia wiązki oddziałują na cały wyrób. Wytrzymałość samego układu scalonego lub modułu wyświetlacza nie przenosi się na zamontowany system. Uszkodzenie mechaniczne może mieć ten sam skutek co błąd algorytmu.</w:t>
      </w:r>
    </w:p>
    <w:p>
      <w:pPr>
        <w:keepNext w:val="0"/>
        <w:keepLines/>
      </w:pPr>
      <w:r>
        <w:rPr>
          <w:b/>
        </w:rPr>
        <w:t xml:space="preserve">Zalecenie </w:t>
      </w:r>
      <w:r>
        <w:t>Zdefiniować miejsce montażu, dopuszczalne temperatury, profile udarów i wibracji, szczelność oraz odporność chemiczną. Ustalić kryteria funkcjonalne podczas narażenia i po nim, w tym brak nieplanowanych iskier i fałszywych odcięć.</w:t>
      </w:r>
    </w:p>
    <w:p>
      <w:pPr>
        <w:keepNext w:val="0"/>
        <w:keepLines/>
      </w:pPr>
      <w:r>
        <w:rPr>
          <w:b/>
        </w:rPr>
        <w:t xml:space="preserve">Dowód zamknięcia </w:t>
      </w:r>
      <w:r>
        <w:t>Plan środowiskowy z uzasadnieniem profili i konfiguracją reprezentatywnego montażu. Próby terenowe mają potwierdzać wymagania, a nie po raz pierwszy je ustalać.</w:t>
      </w:r>
    </w:p>
    <w:p>
      <w:pPr>
        <w:pStyle w:val="Evidence"/>
        <w:keepNext w:val="0"/>
        <w:keepLines/>
      </w:pPr>
      <w:r>
        <w:t>Dossier rozdz. 2.1, 8.1 SYS-ENV-006, 8.3 R15</w:t>
      </w:r>
    </w:p>
    <w:p>
      <w:bookmarkStart w:id="56" w:name="A50"/>
      <w:pPr>
        <w:pStyle w:val="Heading2"/>
      </w:pPr>
      <w:r>
        <w:t>A50 Liczby otwartych wymagań i sumy prądów są niespójne</w:t>
      </w:r>
      <w:bookmarkEnd w:id="56"/>
    </w:p>
    <w:p>
      <w:pPr>
        <w:pStyle w:val="Metadata"/>
        <w:keepNext/>
        <w:keepLines/>
      </w:pPr>
      <w:r>
        <w:t>P2 • Podstawa B • Nowe • Bramka Przed następnym wydaniem dossier</w:t>
      </w:r>
    </w:p>
    <w:p>
      <w:pPr>
        <w:keepNext w:val="0"/>
        <w:keepLines/>
      </w:pPr>
      <w:r>
        <w:rPr>
          <w:b/>
        </w:rPr>
        <w:t xml:space="preserve">Dowód i ocena </w:t>
      </w:r>
      <w:r>
        <w:t>Nagłówek 8.1 mówi o 16 wymaganiach, lecz po rozbiciu zgrupowanych identyfikatorów tabela zawiera 17. W 6.5 suma jawnych czterech zakresów wynosi 51–110 µA, a wiersz razem podaje 70–135 µA.</w:t>
      </w:r>
    </w:p>
    <w:p>
      <w:pPr>
        <w:keepNext w:val="0"/>
        <w:keepLines/>
      </w:pPr>
      <w:r>
        <w:rPr>
          <w:b/>
        </w:rPr>
        <w:t xml:space="preserve">Skutek </w:t>
      </w:r>
      <w:r>
        <w:t>Pierwsza liczba wygląda na nieaktualny nagłówek po dodaniu ECU-SAF-011. Druga może zawierać ukryty margines lub pominięte odbiorniki, ale tego nie opisano. Te drobniejsze rozbieżności nie są główną przyczyną NO-GO, lecz utrudniają kontrolę zakresu i bilansów.</w:t>
      </w:r>
    </w:p>
    <w:p>
      <w:pPr>
        <w:keepNext w:val="0"/>
        <w:keepLines/>
      </w:pPr>
      <w:r>
        <w:rPr>
          <w:b/>
        </w:rPr>
        <w:t xml:space="preserve">Zalecenie </w:t>
      </w:r>
      <w:r>
        <w:t>Generować liczniki z aktualnych rejestrów. W bilansie prądu wymienić każdy składnik oraz rezerwę i podać, po której stronie przetwornic jest liczony. Poprawić nagłówek 8.1.</w:t>
      </w:r>
    </w:p>
    <w:p>
      <w:pPr>
        <w:keepNext w:val="0"/>
        <w:keepLines/>
      </w:pPr>
      <w:r>
        <w:rPr>
          <w:b/>
        </w:rPr>
        <w:t xml:space="preserve">Dowód zamknięcia </w:t>
      </w:r>
      <w:r>
        <w:t>Automatyczne sprawdzenie liczby identyfikatorów i sum oraz przegląd aktualnej metryki wydania. Po korekcie nie przedstawiać tych sum jako spełnienia limitu bez kompletnego pomiaru.</w:t>
      </w:r>
    </w:p>
    <w:p>
      <w:pPr>
        <w:pStyle w:val="Evidence"/>
        <w:keepNext w:val="0"/>
        <w:keepLines/>
      </w:pPr>
      <w:r>
        <w:t>Dossier rozdz. 5.1, 6.5, 8.1</w:t>
      </w:r>
    </w:p>
    <w:p>
      <w:bookmarkStart w:id="57" w:name="s7"/>
      <w:pPr>
        <w:pStyle w:val="Heading1"/>
      </w:pPr>
      <w:r>
        <w:t>7 Rozwiązania ocenione jako poprawne</w:t>
      </w:r>
      <w:bookmarkEnd w:id="57"/>
    </w:p>
    <w:p>
      <w:pPr>
        <w:keepNext w:val="0"/>
        <w:keepLines/>
      </w:pPr>
      <w:r>
        <w:t>Poniższe oceny dotyczą kierunku decyzji lub poprawności dokumentacyjnej. Nie stanowią potwierdzenia gotowości sprzętu. Każda pozytywna ocena zachowuje wskazany warunek.</w:t>
      </w:r>
    </w:p>
    <w:p>
      <w:pPr>
        <w:pStyle w:val="Heading2"/>
      </w:pPr>
      <w:r>
        <w:t>P01 Jawne zawężenie do MVP A</w:t>
      </w:r>
    </w:p>
    <w:p>
      <w:pPr>
        <w:keepNext w:val="0"/>
        <w:keepLines/>
      </w:pPr>
      <w:r>
        <w:t>Jedna Beta bez wtrysku i bez TPS stanowi czytelny zakres startowy. Odłożenie B/C jest rozsądne, jeśli wymagania przyszłych wariantów nie blokują G0 MVP-A i nie zajmują czasu jego specyfikacji.</w:t>
      </w:r>
    </w:p>
    <w:p>
      <w:pPr>
        <w:pStyle w:val="Heading2"/>
      </w:pPr>
      <w:r>
        <w:t>P02 Rejestr założeń wykrył rzeczywisty błąd</w:t>
      </w:r>
    </w:p>
    <w:p>
      <w:pPr>
        <w:keepNext w:val="0"/>
        <w:keepLines/>
      </w:pPr>
      <w:r>
        <w:t>Obalenie TPS z siedmioma zależnymi zapisami to mocny dowód użyteczności rejestru. Przez to samo sito muszą przejść typ cewki, znacznik VR, kwalifikacja IMU, sposób budzenia i zakresy zasilania.</w:t>
      </w:r>
    </w:p>
    <w:p>
      <w:pPr>
        <w:pStyle w:val="Heading2"/>
      </w:pPr>
      <w:r>
        <w:t>P03 Uczciwe rozróżnienie planu od wyniku testu</w:t>
      </w:r>
    </w:p>
    <w:p>
      <w:pPr>
        <w:keepNext w:val="0"/>
        <w:keepLines/>
      </w:pPr>
      <w:r>
        <w:t>Dossier wyraźnie podaje zero wykonanych dowodów i traktuje 107 identyfikatorów jako miejsca na wyniki. Na etapie specyfikacji jest to poprawne; nie należy utożsamiać 105/105 z walidacją.</w:t>
      </w:r>
    </w:p>
    <w:p>
      <w:pPr>
        <w:pStyle w:val="Heading2"/>
      </w:pPr>
      <w:r>
        <w:t>P04 Wprowadzenie fazy specyfikacji firmware</w:t>
      </w:r>
    </w:p>
    <w:p>
      <w:pPr>
        <w:keepNext w:val="0"/>
        <w:keepLines/>
      </w:pPr>
      <w:r>
        <w:t>Faza 2-FW usuwa lukę między zasadą zatwierdzonej specyfikacji a implementacją. Specyfikację należy uzupełnić o warunki brzegowe, rozruch, błędy danych i testy negatywne.</w:t>
      </w:r>
    </w:p>
    <w:p>
      <w:pPr>
        <w:pStyle w:val="Heading2"/>
      </w:pPr>
      <w:r>
        <w:t>P05 Ponowne otwarcie wymagań i bramki G0</w:t>
      </w:r>
    </w:p>
    <w:p>
      <w:pPr>
        <w:keepNext w:val="0"/>
        <w:keepLines/>
      </w:pPr>
      <w:r>
        <w:t>Przyznanie, że wartości i bootloader są nierozstrzygnięte, jest zgodne z rzeczywistą dojrzałością projektu. Warunkowe wcześniejsze zamknięcia nie powinny przesądzać dalszego odbioru.</w:t>
      </w:r>
    </w:p>
    <w:p>
      <w:pPr>
        <w:pStyle w:val="Heading2"/>
      </w:pPr>
      <w:r>
        <w:t>P06 Ograniczenie automatycznych zatrzymań</w:t>
      </w:r>
    </w:p>
    <w:p>
      <w:pPr>
        <w:keepNext w:val="0"/>
        <w:keepLines/>
      </w:pPr>
      <w:r>
        <w:t>W enduro utrata napędu jest również zagrożeniem. Analiza obu stron decyzji jest właściwa. Wąska lista odcięć wymaga jednak kompletnej macierzy zagrożeń, a nie uniwersalnego hasła o dalszej pracy.</w:t>
      </w:r>
    </w:p>
    <w:p>
      <w:pPr>
        <w:pStyle w:val="Heading2"/>
      </w:pPr>
      <w:r>
        <w:t>P07 Oddzielenie diagnostyki kill switcha od odcięcia</w:t>
      </w:r>
    </w:p>
    <w:p>
      <w:pPr>
        <w:keepNext w:val="0"/>
        <w:keepLines/>
      </w:pPr>
      <w:r>
        <w:t>Bezpośredni tor sprzętowy przy zawieszonym MCU to właściwy kierunek. Trzy poziomy oraz niezależny komparator wymagają pełnej analizy polaryzacji, usterek i wspólnych przyczyn.</w:t>
      </w:r>
    </w:p>
    <w:p>
      <w:pPr>
        <w:pStyle w:val="Heading2"/>
      </w:pPr>
      <w:r>
        <w:t>P08 Zatrzask i świadome ponowne uzbrojenie</w:t>
      </w:r>
    </w:p>
    <w:p>
      <w:pPr>
        <w:keepNext w:val="0"/>
        <w:keepLines/>
      </w:pPr>
      <w:r>
        <w:t>Usunięcie samoczynnego restartu po watchdogu usuwa istotny mechanizm niezamierzonego powrotu zapłonu. Warunek musi działać przy braku VR, resetach i utracie zasilania.</w:t>
      </w:r>
    </w:p>
    <w:p>
      <w:pPr>
        <w:pStyle w:val="Heading2"/>
      </w:pPr>
      <w:r>
        <w:t>P09 Stałe nastawy przetwornic</w:t>
      </w:r>
    </w:p>
    <w:p>
      <w:pPr>
        <w:keepNext w:val="0"/>
        <w:keepLines/>
      </w:pPr>
      <w:r>
        <w:t>Rezygnacja z regulacji szyn przez MCU ogranicza jedną klasę usterek. Dwie szyny usuwają problem liniowego 5 V zasilanego z 5 V. Nadal potrzebne są zabezpieczenia i analiza domen.</w:t>
      </w:r>
    </w:p>
    <w:p>
      <w:pPr>
        <w:pStyle w:val="Heading2"/>
      </w:pPr>
      <w:r>
        <w:t>P10 Dobór obudowy MCU na podstawie bilansu</w:t>
      </w:r>
    </w:p>
    <w:p>
      <w:pPr>
        <w:keepNext w:val="0"/>
        <w:keepLines/>
      </w:pPr>
      <w:r>
        <w:t>Przejście do STM32G474VET3 LQFP100 oraz korekta klasy temperaturowej są uzasadnione w opisanym zakresie. Ostatecznie trzeba wykazać funkcje alternatywne, DMA, zasoby i erratę.</w:t>
      </w:r>
    </w:p>
    <w:p>
      <w:pPr>
        <w:pStyle w:val="Heading2"/>
      </w:pPr>
      <w:r>
        <w:t>P11 Zmiana błędnej kategorii drivera wtrysku</w:t>
      </w:r>
    </w:p>
    <w:p>
      <w:pPr>
        <w:keepNext w:val="0"/>
        <w:keepLines/>
      </w:pPr>
      <w:r>
        <w:t>TLE9104SH rzeczywiście jest czterokanałowym low-side dla takich obciążeń. To poprawa funkcji katalogowej wobec dawnego doboru. Nie potwierdza jeszcze dopasowania do nieokreślonych wtryskiwaczy B/C.</w:t>
      </w:r>
    </w:p>
    <w:p>
      <w:pPr>
        <w:pStyle w:val="Heading2"/>
      </w:pPr>
      <w:r>
        <w:t>P12 Odrzucenie nieistniejącego shutdown MAX9926</w:t>
      </w:r>
    </w:p>
    <w:p>
      <w:pPr>
        <w:keepNext w:val="0"/>
        <w:keepLines/>
      </w:pPr>
      <w:r>
        <w:t>Karta potwierdza pobór rzędu miliamperów i brak takiego wejścia. Odłączanie domeny jest technicznie uzasadnione, jeśli zdefiniowano inne źródło i sekwencję budzenia.</w:t>
      </w:r>
    </w:p>
    <w:p>
      <w:pPr>
        <w:pStyle w:val="Heading2"/>
      </w:pPr>
      <w:r>
        <w:t>P13 Rozdzielenie ograniczeń kąta</w:t>
      </w:r>
    </w:p>
    <w:p>
      <w:pPr>
        <w:keepNext w:val="0"/>
        <w:keepLines/>
      </w:pPr>
      <w:r>
        <w:t>Granica wykonalności toru czasu oraz granica wynikająca ze spalania to różne ograniczenia. Poprawna zasada wymaga jednak niezależnej walidacji: sama edytowalna mapa nie może jednocześnie być dowodem własnego bezpieczeństwa.</w:t>
      </w:r>
    </w:p>
    <w:p>
      <w:pPr>
        <w:pStyle w:val="Heading2"/>
      </w:pPr>
      <w:r>
        <w:t>P14 Rezygnacja z quickshiftera</w:t>
      </w:r>
    </w:p>
    <w:p>
      <w:pPr>
        <w:keepNext w:val="0"/>
        <w:keepLines/>
      </w:pPr>
      <w:r>
        <w:t>Usunięcie funkcji dodatkowej oraz osieroconego czujnika sprzęgła zmniejsza zakres i liczbę warunków zależnych od realnego sposobu jazdy. Trzy wcześniejsze błędy są argumentem za kontrolą złożoności, nie za przymusowym zachowaniem funkcji.</w:t>
      </w:r>
    </w:p>
    <w:p>
      <w:pPr>
        <w:pStyle w:val="Heading2"/>
      </w:pPr>
      <w:r>
        <w:t>P15 Podejście do usterek według utraconej informacji</w:t>
      </w:r>
    </w:p>
    <w:p>
      <w:pPr>
        <w:keepNext w:val="0"/>
        <w:keepLines/>
      </w:pPr>
      <w:r>
        <w:t>Ocena, czy pomiar ma wiarygodny zamiennik, jest lepszą podstawą reakcji niż sama etykieta ważności DTC. Trzeba jednak sprawdzić stan gwarantowanej pracy wszystkich elementów zależnych od utraconej szyny.</w:t>
      </w:r>
    </w:p>
    <w:p>
      <w:bookmarkStart w:id="58" w:name="s8"/>
      <w:pPr>
        <w:pStyle w:val="Heading1"/>
      </w:pPr>
      <w:r>
        <w:t>8 Odpowiedzi na pytania z dossier</w:t>
      </w:r>
      <w:bookmarkEnd w:id="58"/>
    </w:p>
    <w:p>
      <w:pPr>
        <w:pStyle w:val="Heading2"/>
      </w:pPr>
      <w:r>
        <w:t>Czego nie obejmuje dotychczasowa samoocena</w:t>
      </w:r>
    </w:p>
    <w:p>
      <w:pPr>
        <w:keepNext w:val="0"/>
        <w:keepLines/>
      </w:pPr>
      <w:r>
        <w:t>Najistotniejsze dodatkowe kwestie to zgodność VBG z fabrycznym DC-CDI, polaryzacja EN, iskra powstająca przy zwykłym przerwaniu ładowania, zależność limitu HRTIM od tego samego zegara i jego zakres 16 bitów. Kolejne to elektryczny punkt VR odmienny od krawędzi geometrycznej, osobna predykcja początku dwell, granica błędu poza percentylem, ponowne uzbrojenie przy uszkodzonym VR oraz pominięcie standby drivera w bilansie snu. Odwołania: A01–A15 i A26–A28.</w:t>
      </w:r>
    </w:p>
    <w:p>
      <w:pPr>
        <w:pStyle w:val="Heading2"/>
      </w:pPr>
      <w:r>
        <w:t>Czy mapa jednowymiarowa wystarczy</w:t>
      </w:r>
    </w:p>
    <w:p>
      <w:pPr>
        <w:keepNext w:val="0"/>
        <w:keepLines/>
      </w:pPr>
      <w:r>
        <w:t>Mapa zależna tylko od RPM jest wykonalna jako ograniczony produkt dla MVP-A. Brak TPS nie dowodzi ściany technicznej, ale wymusza konserwatywny kompromis pomiędzy obciążeniami. Nie można z samych obrotów odtworzyć obciążenia w sposób wymagany do bezpiecznego podnoszenia osiągów.</w:t>
      </w:r>
    </w:p>
    <w:p>
      <w:pPr>
        <w:keepNext w:val="0"/>
        <w:keepLines/>
      </w:pPr>
      <w:r>
        <w:t>Nie jest udowodnione twierdzenie, że nowa strategia będzie co najmniej tak dobra jak fabryczna, ani że fabryczne CDI używa wyłącznie tej samej funkcji RPM. Instrukcja potwierdza typ DC-CDI, a nie algorytm i mapę. Potrzebna jest zmierzona charakterystyka fabryczna oraz próby nowej mapy w ustalonej obwiedni paliwa, temperatury, wysokości i obciążenia, w szczególności pod pełnym obciążeniem. Zatwierdzona mapa powinna chronić silnik także wtedy, gdy osiągi będą mniejsze niż maksimum możliwe z dodatkowym pomiarem obciążenia.</w:t>
      </w:r>
    </w:p>
    <w:p>
      <w:pPr>
        <w:keepNext w:val="0"/>
        <w:keepLines/>
      </w:pPr>
      <w:r>
        <w:t>Decyzję o niedokładaniu TPS należy zachować jako zakres użytkownika. Oszczędność montażu może zwiększyć koszt strojenia i zmniejszyć osiągi lub możliwość strojenia podczas pracy. Nie ma jednak podstaw, by obiecywać precyzyjny koszt tego kompromisu bez danych i prób. Czujnik biegu, IMU ani estymata RPM nie stanowią prostego zamiennika TPS.</w:t>
      </w:r>
    </w:p>
    <w:p>
      <w:pPr>
        <w:pStyle w:val="Heading2"/>
      </w:pPr>
      <w:r>
        <w:t>Jak rozstrzygnąć live tuning bez TPS</w:t>
      </w:r>
    </w:p>
    <w:p>
      <w:pPr>
        <w:keepNext w:val="0"/>
        <w:keepLines/>
      </w:pPr>
      <w:r>
        <w:t>Dla MVP-A rekomenduję zablokować aktywację zmian map i parametrów wpływających na zapłon przy pracującym lub uzbrojonym silniku. Diagnostyka i podgląd danych mogą pozostać dostępne. Przygotowany zestaw może zostać przeniesiony do obszaru roboczego, o ile transfer nie wpływa na funkcję czasu rzeczywistego; jego aktywacja powinna wymagać rozbrojenia i jawnej procedury. Szczegóły transakcji pozostają wymaganiem D i protokołu.</w:t>
      </w:r>
    </w:p>
    <w:p>
      <w:pPr>
        <w:keepNext w:val="0"/>
        <w:keepLines/>
      </w:pPr>
      <w:r>
        <w:t>Sam limit RPM blokuje część niebezpiecznych stanów, lecz nie identyfikuje pełnego obciążenia na niskich obrotach. Limit szybkości zmian również nie dowodzi bezpieczeństwa wartości końcowej. Brak VR nie jest wystarczającym dowodem zatrzymania. Odrębny tryb strojenia na stanowisku można później rozważyć jako osobny, kontrolowany zakres z fizycznym zezwoleniem i zatwierdzoną obwiednią. Odwołania: A15, A21–A24 i A40.</w:t>
      </w:r>
    </w:p>
    <w:p>
      <w:pPr>
        <w:pStyle w:val="Heading2"/>
      </w:pPr>
      <w:r>
        <w:t>Czy korekta po usunięciu TPS jest kompletna</w:t>
      </w:r>
    </w:p>
    <w:p>
      <w:pPr>
        <w:keepNext w:val="0"/>
        <w:keepLines/>
      </w:pPr>
      <w:r>
        <w:t>Nie. Przypadek granicznej szyny 5 V nadal nazwano utratą obciążenia, choć w MVP-A brak takiego pomiaru. Nie rozstrzygnięto interlocku i nie przedstawiono pełnej kontroli zależności w HMI, strukturach map, flash, CAN, USB i macierzy testów. Siedem opisanych zmian jest zasadnych, lecz nie zamyka skutków systemowych.</w:t>
      </w:r>
    </w:p>
    <w:tbl>
      <w:tblPr>
        <w:jc w:val="center"/>
        <w:tblLayout w:type="fixed"/>
        <w:tblLook w:firstColumn="1" w:firstRow="1" w:lastColumn="0" w:lastRow="0" w:noHBand="0" w:noVBand="1" w:val="04A0"/>
        <w:tblW w:type="dxa" w:w="10224"/>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232"/>
        <w:gridCol w:w="7992"/>
      </w:tblGrid>
      <w:tr>
        <w:trPr>
          <w:cantSplit/>
          <w:tblHeader/>
        </w:trPr>
        <w:tc>
          <w:tcPr>
            <w:tcW w:type="dxa" w:w="2232"/>
            <w:vAlign w:val="center"/>
            <w:shd w:fill="3D3D3D"/>
          </w:tcPr>
          <w:p>
            <w:pPr>
              <w:pStyle w:val="TableText"/>
              <w:keepNext w:val="0"/>
              <w:keepLines/>
              <w:spacing w:after="0"/>
            </w:pPr>
            <w:r>
              <w:rPr>
                <w:b/>
                <w:color w:val="FFFFFF"/>
              </w:rPr>
              <w:t>Obszar</w:t>
            </w:r>
          </w:p>
        </w:tc>
        <w:tc>
          <w:tcPr>
            <w:tcW w:type="dxa" w:w="7992"/>
            <w:vAlign w:val="center"/>
            <w:shd w:fill="3D3D3D"/>
          </w:tcPr>
          <w:p>
            <w:pPr>
              <w:pStyle w:val="TableText"/>
              <w:keepNext w:val="0"/>
              <w:keepLines/>
              <w:spacing w:after="0"/>
            </w:pPr>
            <w:r>
              <w:rPr>
                <w:b/>
                <w:color w:val="FFFFFF"/>
              </w:rPr>
              <w:t>Co należy sprawdzić po korekcie</w:t>
            </w:r>
          </w:p>
        </w:tc>
      </w:tr>
      <w:tr>
        <w:trPr>
          <w:cantSplit/>
        </w:trPr>
        <w:tc>
          <w:tcPr>
            <w:tcW w:type="dxa" w:w="2232"/>
            <w:vAlign w:val="center"/>
            <w:shd w:fill="FFFFFF"/>
          </w:tcPr>
          <w:p>
            <w:pPr>
              <w:pStyle w:val="TableText"/>
              <w:keepNext w:val="0"/>
              <w:keepLines/>
              <w:spacing w:after="0"/>
            </w:pPr>
            <w:r>
              <w:t>Wymagania i DTC</w:t>
            </w:r>
          </w:p>
        </w:tc>
        <w:tc>
          <w:tcPr>
            <w:tcW w:type="dxa" w:w="7992"/>
            <w:vAlign w:val="center"/>
            <w:shd w:fill="FFFFFF"/>
          </w:tcPr>
          <w:p>
            <w:pPr>
              <w:pStyle w:val="TableText"/>
              <w:keepNext w:val="0"/>
              <w:keepLines/>
              <w:spacing w:after="0"/>
            </w:pPr>
            <w:r>
              <w:t>Usunięte identyfikatory jako wycofane, nowy zakres 1D, szyna 5 V jako awaria domeny</w:t>
            </w:r>
          </w:p>
        </w:tc>
      </w:tr>
      <w:tr>
        <w:trPr>
          <w:cantSplit/>
        </w:trPr>
        <w:tc>
          <w:tcPr>
            <w:tcW w:type="dxa" w:w="2232"/>
            <w:vAlign w:val="center"/>
            <w:shd w:fill="F4F4F4"/>
          </w:tcPr>
          <w:p>
            <w:pPr>
              <w:pStyle w:val="TableText"/>
              <w:keepNext w:val="0"/>
              <w:keepLines/>
              <w:spacing w:after="0"/>
            </w:pPr>
            <w:r>
              <w:t>Mapa i pamięć</w:t>
            </w:r>
          </w:p>
        </w:tc>
        <w:tc>
          <w:tcPr>
            <w:tcW w:type="dxa" w:w="7992"/>
            <w:vAlign w:val="center"/>
            <w:shd w:fill="F4F4F4"/>
          </w:tcPr>
          <w:p>
            <w:pPr>
              <w:pStyle w:val="TableText"/>
              <w:keepNext w:val="0"/>
              <w:keepLines/>
              <w:spacing w:after="0"/>
            </w:pPr>
            <w:r>
              <w:t>Schemat 1D, brak osieroconej osi obciążenia, zgodność importu i migracji wersji</w:t>
            </w:r>
          </w:p>
        </w:tc>
      </w:tr>
      <w:tr>
        <w:trPr>
          <w:cantSplit/>
        </w:trPr>
        <w:tc>
          <w:tcPr>
            <w:tcW w:type="dxa" w:w="2232"/>
            <w:vAlign w:val="center"/>
            <w:shd w:fill="FFFFFF"/>
          </w:tcPr>
          <w:p>
            <w:pPr>
              <w:pStyle w:val="TableText"/>
              <w:keepNext w:val="0"/>
              <w:keepLines/>
              <w:spacing w:after="0"/>
            </w:pPr>
            <w:r>
              <w:t>CAN i USB</w:t>
            </w:r>
          </w:p>
        </w:tc>
        <w:tc>
          <w:tcPr>
            <w:tcW w:type="dxa" w:w="7992"/>
            <w:vAlign w:val="center"/>
            <w:shd w:fill="FFFFFF"/>
          </w:tcPr>
          <w:p>
            <w:pPr>
              <w:pStyle w:val="TableText"/>
              <w:keepNext w:val="0"/>
              <w:keepLines/>
              <w:spacing w:after="0"/>
            </w:pPr>
            <w:r>
              <w:t>Jawna nieobecność TPS dla MVP-A; brak interpretacji pustego pola jako zero procent</w:t>
            </w:r>
          </w:p>
        </w:tc>
      </w:tr>
      <w:tr>
        <w:trPr>
          <w:cantSplit/>
        </w:trPr>
        <w:tc>
          <w:tcPr>
            <w:tcW w:type="dxa" w:w="2232"/>
            <w:vAlign w:val="center"/>
            <w:shd w:fill="F4F4F4"/>
          </w:tcPr>
          <w:p>
            <w:pPr>
              <w:pStyle w:val="TableText"/>
              <w:keepNext w:val="0"/>
              <w:keepLines/>
              <w:spacing w:after="0"/>
            </w:pPr>
            <w:r>
              <w:t>HMI i aplikacja</w:t>
            </w:r>
          </w:p>
        </w:tc>
        <w:tc>
          <w:tcPr>
            <w:tcW w:type="dxa" w:w="7992"/>
            <w:vAlign w:val="center"/>
            <w:shd w:fill="F4F4F4"/>
          </w:tcPr>
          <w:p>
            <w:pPr>
              <w:pStyle w:val="TableText"/>
              <w:keepNext w:val="0"/>
              <w:keepLines/>
              <w:spacing w:after="0"/>
            </w:pPr>
            <w:r>
              <w:t>Brak fikcyjnego wskaźnika TPS; aktualna wersja i poprawne ograniczenia komend</w:t>
            </w:r>
          </w:p>
        </w:tc>
      </w:tr>
      <w:tr>
        <w:trPr>
          <w:cantSplit/>
        </w:trPr>
        <w:tc>
          <w:tcPr>
            <w:tcW w:type="dxa" w:w="2232"/>
            <w:vAlign w:val="center"/>
            <w:shd w:fill="FFFFFF"/>
          </w:tcPr>
          <w:p>
            <w:pPr>
              <w:pStyle w:val="TableText"/>
              <w:keepNext w:val="0"/>
              <w:keepLines/>
              <w:spacing w:after="0"/>
            </w:pPr>
            <w:r>
              <w:t>Stany i interlocki</w:t>
            </w:r>
          </w:p>
        </w:tc>
        <w:tc>
          <w:tcPr>
            <w:tcW w:type="dxa" w:w="7992"/>
            <w:vAlign w:val="center"/>
            <w:shd w:fill="FFFFFF"/>
          </w:tcPr>
          <w:p>
            <w:pPr>
              <w:pStyle w:val="TableText"/>
              <w:keepNext w:val="0"/>
              <w:keepLines/>
              <w:spacing w:after="0"/>
            </w:pPr>
            <w:r>
              <w:t>Live tuning, rozbrojenie, aktualizacja i ponowne uzbrojenie bez brakującego warunku</w:t>
            </w:r>
          </w:p>
        </w:tc>
      </w:tr>
      <w:tr>
        <w:trPr>
          <w:cantSplit/>
        </w:trPr>
        <w:tc>
          <w:tcPr>
            <w:tcW w:type="dxa" w:w="2232"/>
            <w:vAlign w:val="center"/>
            <w:shd w:fill="F4F4F4"/>
          </w:tcPr>
          <w:p>
            <w:pPr>
              <w:pStyle w:val="TableText"/>
              <w:keepNext w:val="0"/>
              <w:keepLines/>
              <w:spacing w:after="0"/>
            </w:pPr>
            <w:r>
              <w:t>Testy i baseline</w:t>
            </w:r>
          </w:p>
        </w:tc>
        <w:tc>
          <w:tcPr>
            <w:tcW w:type="dxa" w:w="7992"/>
            <w:vAlign w:val="center"/>
            <w:shd w:fill="F4F4F4"/>
          </w:tcPr>
          <w:p>
            <w:pPr>
              <w:pStyle w:val="TableText"/>
              <w:keepNext w:val="0"/>
              <w:keepLines/>
              <w:spacing w:after="0"/>
            </w:pPr>
            <w:r>
              <w:t>Testy braku TPS, błędnego wariantu, starej mapy 2D i osieroconych odwołań</w:t>
            </w:r>
          </w:p>
        </w:tc>
      </w:tr>
    </w:tbl>
    <w:p>
      <w:pPr>
        <w:keepNext w:val="0"/>
        <w:keepLines/>
        <w:spacing w:after="40"/>
      </w:pPr>
      <w:r/>
    </w:p>
    <w:p>
      <w:pPr>
        <w:pStyle w:val="Heading2"/>
      </w:pPr>
      <w:r>
        <w:t>Czy usunięcie quickshiftera było uzasadnione</w:t>
      </w:r>
    </w:p>
    <w:p>
      <w:pPr>
        <w:keepNext w:val="0"/>
        <w:keepLines/>
      </w:pPr>
      <w:r>
        <w:t>Tak jako decyzja o zakresie pierwszego produktu: funkcja dodatkowa przynosiła kolejne zależności i błędy, a jej korzyść w technicznym enduro nie została wykazana. Nie da się z dokumentu ocenić motywacji psychologicznej lub zmęczenia autora. Do ponownego dodania potrzebne byłyby osobny przypadek użycia, detekcja intencji i próby negatywne z częstym użyciem sprzęgła. Nie stanowi to warunku MVP-A.</w:t>
      </w:r>
    </w:p>
    <w:p>
      <w:pPr>
        <w:pStyle w:val="Heading2"/>
      </w:pPr>
      <w:r>
        <w:t>Czy awaryjna mapa bogata jest poprawna</w:t>
      </w:r>
    </w:p>
    <w:p>
      <w:pPr>
        <w:keepNext w:val="0"/>
        <w:keepLines/>
      </w:pPr>
      <w:r>
        <w:t>Nie jako uniwersalna reguła. Dotyczy wyłącznie B/C i wymaga specyfikacji konkretnego układu dawkowania oraz dostępnych sygnałów. Wtrysk dobrany jak dla pełnego obciążenia może przy małym obciążeniu dać zalanie, nierówną pracę i zgaśnięcie. Granice mieszanki, chłodzenia i smarowania nie wynikają z samego słowa bogata. Dla MVP-A ECU nie reguluje dawki gaźnika, więc nie należy prezentować tej strategii jako funkcji dostępnej w tym wariancie. Odwołania: A18–A20.</w:t>
      </w:r>
    </w:p>
    <w:p>
      <w:pPr>
        <w:pStyle w:val="Heading2"/>
      </w:pPr>
      <w:r>
        <w:t>Czy limit 28 stopni i okna kątowe są obronione</w:t>
      </w:r>
    </w:p>
    <w:p>
      <w:pPr>
        <w:keepNext w:val="0"/>
        <w:keepLines/>
      </w:pPr>
      <w:r>
        <w:t>Nie. Limit 28° wymaga poprawnego elektrycznego odniesienia VR i budżetu latencji, a później odrębnej granicy spalania. Okna ±10° i ±20° są hipotezami, nie potwierdzonymi wartościami. Należy sprawdzić zakłócenia zarówno wewnątrz, jak i poza oknem, brak znacznika, pulsacje obrotów oraz odzyskanie synchronizacji. Obietnica braku utraty iskry przy dowolnym odrzuceniu zbocza jest zbyt szeroka. Odwołania: A06–A12.</w:t>
      </w:r>
    </w:p>
    <w:p>
      <w:pPr>
        <w:pStyle w:val="Heading2"/>
      </w:pPr>
      <w:r>
        <w:t>Jak ocenić szczelinę 0 przecinek 18 milimetra</w:t>
      </w:r>
    </w:p>
    <w:p>
      <w:pPr>
        <w:keepNext w:val="0"/>
        <w:keepLines/>
      </w:pPr>
      <w:r>
        <w:t>Zmierzona wartość jest faktem dotyczącym badanego egzemplarza, nie potwierdzoną tolerancją fabryczną. Trzeba zmierzyć bicie, zmianę szczeliny w pełnym obrocie i temperaturze, tolerancję mocowania oraz amplitudę VR. Rezystancja 95,7 Ω mieści się w przytoczonym przedziale 80–120 Ω, ale nie dowodzi polaryzacji, fazy ani poprawnego sygnału przy rozruchu. Dossier nie zawiera źródła producenta dla tego przedziału.</w:t>
      </w:r>
    </w:p>
    <w:p>
      <w:pPr>
        <w:keepNext w:val="0"/>
        <w:keepLines/>
      </w:pPr>
      <w:r>
        <w:t>Nie należy powiększać ani zmniejszać szczeliny na podstawie samej nietypowości wartości. Wejście MAX9926 ocenia się razem z rezystorami, ochroną, napięciem różnicowym i wspólnym oraz maksymalnym prądem ograniczania. Wybrany tryb adaptacji może zachowywać się inaczej na wolnym rozruchu i po długiej przerwie niż przy regularnym sygnale. Odwołania: A06, A11, A25 i A38; S03.</w:t>
      </w:r>
    </w:p>
    <w:p>
      <w:pPr>
        <w:pStyle w:val="Heading2"/>
      </w:pPr>
      <w:r>
        <w:t>Czy rezygnacja z blokady rozrusznika na biegu jest akceptowalna</w:t>
      </w:r>
    </w:p>
    <w:p>
      <w:pPr>
        <w:keepNext w:val="0"/>
        <w:keepLines/>
      </w:pPr>
      <w:r>
        <w:t>To jawna decyzja, lecz przeniesienie odpowiedzialności na kierowcę nie jest dowodem zamknięcia ryzyka niezamierzonego ruchu. Trzeba opisać zezwolenie na rozruch, przycisk przytrzymany podczas resetu, sklejony przekaźnik i zachowanie po wybudzeniu. Nie narzucam powrotu czujnika sprzęgła ani konkretnej blokady: wymagane są ocena zagrożenia, świadomie wybrane zabezpieczenia i zaakceptowane ryzyko resztkowe. Sam niepewny czujnik biegu nie powinien stać się zabezpieczeniem bez dodatkowego dowodu. Odwołania: A17, A28, A34 i A36.</w:t>
      </w:r>
    </w:p>
    <w:p>
      <w:pPr>
        <w:pStyle w:val="Heading2"/>
      </w:pPr>
      <w:r>
        <w:t>Czy proces i podział luk są adekwatne</w:t>
      </w:r>
    </w:p>
    <w:p>
      <w:pPr>
        <w:keepNext w:val="0"/>
        <w:keepLines/>
      </w:pPr>
      <w:r>
        <w:t>Zasady są właściwym początkiem, ale nie blokują jeszcze udokumentowanych wzorców. Rejestr założeń wykazał działanie; repozytorium nie zostało wdrożone, a standard kodowania i kryteria odbioru są niepełne. Potrzebne są obowiązkowe dowody przed zmianą statusu i punktowy niezależny przegląd funkcji krytycznych. Mechanizmy testów negatywnych powinny być egzekwowane na konkretnym przypadku, a nie tylko deklarowane.</w:t>
      </w:r>
    </w:p>
    <w:p>
      <w:pPr>
        <w:keepNext w:val="0"/>
        <w:keepLines/>
      </w:pPr>
      <w:r>
        <w:t>L34 należy ponownie otworzyć do wdrożenia. L35 można uznać za mechanizm utworzony w deklarowanym zakresie, lecz treści wszystkich dziesięciu pozycji nie udostępniono. L36 jest przyjętym obowiązkiem do uzupełnienia przed kodem. L37 pozostaje propozycją do zatwierdzenia przed G0. Szczegółowy BOM L38 może powstać później, lecz budżet wykonalności musi poprzedzać G0. L39 wymaga przypadków użycia przed projektowaniem protokołu. Odłożenie L40 jest zasadne przy minimalnym kontrakcie rezerw wspólnego sprzętu. Odwołania: A41–A48.</w:t>
      </w:r>
    </w:p>
    <w:p>
      <w:pPr>
        <w:pStyle w:val="Heading2"/>
      </w:pPr>
      <w:r>
        <w:t>Jakie inne twierdzenia należy przenieść do rejestru założeń</w:t>
      </w:r>
    </w:p>
    <w:p>
      <w:pPr>
        <w:keepNext w:val="0"/>
        <w:keepLines/>
      </w:pPr>
      <w:r>
        <w:t>W pierwszej kolejności: zgodność cewki fabrycznej z VBG, fizyczna krawędź jako znacznik cyfrowy, bezpieczeństwo 28°, brak restartu po każdym resecie, spełnienie 150 µA, kwalifikacja i cykl życia BMI090L, ciągłość budzenia bez VR oraz wykonalność czujnika bębna. Każda pozycja powinna mieć metodę obalenia i listę zapisów zależnych.</w:t>
      </w:r>
    </w:p>
    <w:p>
      <w:pPr>
        <w:keepNext w:val="0"/>
        <w:keepLines/>
      </w:pPr>
      <w:r>
        <w:t>Zdanie jedyne źródło spoza UE wymaga definicji: kraj dystrybutora, producenta, wytwarzania czy montażu to różne kryteria. Strony Infineon wskazują produkcję lub montaż wybranych części poza UE, więc wniosek geograficzny nie wynika z europejskiej marki. Nie klasyfikuję tego jako dodatkowej wady fizycznej; wymaga doprecyzowania własnej polityki R17. Odwołania: A32–A33; S14 i S16.</w:t>
      </w:r>
    </w:p>
    <w:p>
      <w:bookmarkStart w:id="59" w:name="s9"/>
      <w:pPr>
        <w:pStyle w:val="Heading1"/>
      </w:pPr>
      <w:r>
        <w:t>9 Obliczenia kontrolne</w:t>
      </w:r>
      <w:bookmarkEnd w:id="59"/>
    </w:p>
    <w:p>
      <w:pPr>
        <w:pStyle w:val="Heading2"/>
      </w:pPr>
      <w:r>
        <w:t>Czas odpowiadający kątowi wału</w:t>
      </w:r>
    </w:p>
    <w:p>
      <w:pPr>
        <w:keepNext w:val="0"/>
        <w:keepLines/>
      </w:pPr>
      <w:r>
        <w:t>Czas jednego obrotu wynika z 60 sekund na minutę podzielonych przez RPM; czas jednego stopnia to jedna trzysta sześćdziesiąta tego okresu. Obliczenia dotyczą jednej iskry na obrót. Nie są pomiarem nowego ECU.</w:t>
      </w:r>
    </w:p>
    <w:tbl>
      <w:tblPr>
        <w:jc w:val="center"/>
        <w:tblLayout w:type="fixed"/>
        <w:tblLook w:firstColumn="1" w:firstRow="1" w:lastColumn="0" w:lastRow="0" w:noHBand="0" w:noVBand="1" w:val="04A0"/>
        <w:tblW w:type="dxa" w:w="10224"/>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440"/>
        <w:gridCol w:w="1944"/>
        <w:gridCol w:w="1944"/>
        <w:gridCol w:w="2448"/>
        <w:gridCol w:w="2448"/>
      </w:tblGrid>
      <w:tr>
        <w:trPr>
          <w:cantSplit/>
          <w:tblHeader/>
        </w:trPr>
        <w:tc>
          <w:tcPr>
            <w:tcW w:type="dxa" w:w="1440"/>
            <w:vAlign w:val="center"/>
            <w:shd w:fill="3D3D3D"/>
          </w:tcPr>
          <w:p>
            <w:pPr>
              <w:pStyle w:val="TableText"/>
              <w:keepNext w:val="0"/>
              <w:keepLines/>
              <w:spacing w:after="0"/>
              <w:jc w:val="center"/>
            </w:pPr>
            <w:r>
              <w:rPr>
                <w:b/>
                <w:color w:val="FFFFFF"/>
              </w:rPr>
              <w:t>RPM</w:t>
            </w:r>
          </w:p>
        </w:tc>
        <w:tc>
          <w:tcPr>
            <w:tcW w:type="dxa" w:w="1944"/>
            <w:vAlign w:val="center"/>
            <w:shd w:fill="3D3D3D"/>
          </w:tcPr>
          <w:p>
            <w:pPr>
              <w:pStyle w:val="TableText"/>
              <w:keepNext w:val="0"/>
              <w:keepLines/>
              <w:spacing w:after="0"/>
              <w:jc w:val="center"/>
            </w:pPr>
            <w:r>
              <w:rPr>
                <w:b/>
                <w:color w:val="FFFFFF"/>
              </w:rPr>
              <w:t>Obrót ms</w:t>
            </w:r>
          </w:p>
        </w:tc>
        <w:tc>
          <w:tcPr>
            <w:tcW w:type="dxa" w:w="1944"/>
            <w:vAlign w:val="center"/>
            <w:shd w:fill="3D3D3D"/>
          </w:tcPr>
          <w:p>
            <w:pPr>
              <w:pStyle w:val="TableText"/>
              <w:keepNext w:val="0"/>
              <w:keepLines/>
              <w:spacing w:after="0"/>
              <w:jc w:val="center"/>
            </w:pPr>
            <w:r>
              <w:rPr>
                <w:b/>
                <w:color w:val="FFFFFF"/>
              </w:rPr>
              <w:t>1° µs</w:t>
            </w:r>
          </w:p>
        </w:tc>
        <w:tc>
          <w:tcPr>
            <w:tcW w:type="dxa" w:w="2448"/>
            <w:vAlign w:val="center"/>
            <w:shd w:fill="3D3D3D"/>
          </w:tcPr>
          <w:p>
            <w:pPr>
              <w:pStyle w:val="TableText"/>
              <w:keepNext w:val="0"/>
              <w:keepLines/>
              <w:spacing w:after="0"/>
              <w:jc w:val="center"/>
            </w:pPr>
            <w:r>
              <w:rPr>
                <w:b/>
                <w:color w:val="FFFFFF"/>
              </w:rPr>
              <w:t>Margines 2° µs</w:t>
            </w:r>
          </w:p>
        </w:tc>
        <w:tc>
          <w:tcPr>
            <w:tcW w:type="dxa" w:w="2448"/>
            <w:vAlign w:val="center"/>
            <w:shd w:fill="3D3D3D"/>
          </w:tcPr>
          <w:p>
            <w:pPr>
              <w:pStyle w:val="TableText"/>
              <w:keepNext w:val="0"/>
              <w:keepLines/>
              <w:spacing w:after="0"/>
              <w:jc w:val="center"/>
            </w:pPr>
            <w:r>
              <w:rPr>
                <w:b/>
                <w:color w:val="FFFFFF"/>
              </w:rPr>
              <w:t>25 µs w stopniach</w:t>
            </w:r>
          </w:p>
        </w:tc>
      </w:tr>
      <w:tr>
        <w:trPr>
          <w:cantSplit/>
        </w:trPr>
        <w:tc>
          <w:tcPr>
            <w:tcW w:type="dxa" w:w="1440"/>
            <w:vAlign w:val="center"/>
            <w:shd w:fill="FFFFFF"/>
          </w:tcPr>
          <w:p>
            <w:pPr>
              <w:pStyle w:val="TableText"/>
              <w:keepNext w:val="0"/>
              <w:keepLines/>
              <w:spacing w:after="0"/>
              <w:jc w:val="center"/>
            </w:pPr>
            <w:r>
              <w:t>1500</w:t>
            </w:r>
          </w:p>
        </w:tc>
        <w:tc>
          <w:tcPr>
            <w:tcW w:type="dxa" w:w="1944"/>
            <w:vAlign w:val="center"/>
            <w:shd w:fill="FFFFFF"/>
          </w:tcPr>
          <w:p>
            <w:pPr>
              <w:pStyle w:val="TableText"/>
              <w:keepNext w:val="0"/>
              <w:keepLines/>
              <w:spacing w:after="0"/>
              <w:jc w:val="center"/>
            </w:pPr>
            <w:r>
              <w:t>40,00</w:t>
            </w:r>
          </w:p>
        </w:tc>
        <w:tc>
          <w:tcPr>
            <w:tcW w:type="dxa" w:w="1944"/>
            <w:vAlign w:val="center"/>
            <w:shd w:fill="FFFFFF"/>
          </w:tcPr>
          <w:p>
            <w:pPr>
              <w:pStyle w:val="TableText"/>
              <w:keepNext w:val="0"/>
              <w:keepLines/>
              <w:spacing w:after="0"/>
              <w:jc w:val="center"/>
            </w:pPr>
            <w:r>
              <w:t>111,11</w:t>
            </w:r>
          </w:p>
        </w:tc>
        <w:tc>
          <w:tcPr>
            <w:tcW w:type="dxa" w:w="2448"/>
            <w:vAlign w:val="center"/>
            <w:shd w:fill="FFFFFF"/>
          </w:tcPr>
          <w:p>
            <w:pPr>
              <w:pStyle w:val="TableText"/>
              <w:keepNext w:val="0"/>
              <w:keepLines/>
              <w:spacing w:after="0"/>
              <w:jc w:val="center"/>
            </w:pPr>
            <w:r>
              <w:t>222,22</w:t>
            </w:r>
          </w:p>
        </w:tc>
        <w:tc>
          <w:tcPr>
            <w:tcW w:type="dxa" w:w="2448"/>
            <w:vAlign w:val="center"/>
            <w:shd w:fill="FFFFFF"/>
          </w:tcPr>
          <w:p>
            <w:pPr>
              <w:pStyle w:val="TableText"/>
              <w:keepNext w:val="0"/>
              <w:keepLines/>
              <w:spacing w:after="0"/>
              <w:jc w:val="center"/>
            </w:pPr>
            <w:r>
              <w:t>0,225</w:t>
            </w:r>
          </w:p>
        </w:tc>
      </w:tr>
      <w:tr>
        <w:trPr>
          <w:cantSplit/>
        </w:trPr>
        <w:tc>
          <w:tcPr>
            <w:tcW w:type="dxa" w:w="1440"/>
            <w:vAlign w:val="center"/>
            <w:shd w:fill="F4F4F4"/>
          </w:tcPr>
          <w:p>
            <w:pPr>
              <w:pStyle w:val="TableText"/>
              <w:keepNext w:val="0"/>
              <w:keepLines/>
              <w:spacing w:after="0"/>
              <w:jc w:val="center"/>
            </w:pPr>
            <w:r>
              <w:t>3000</w:t>
            </w:r>
          </w:p>
        </w:tc>
        <w:tc>
          <w:tcPr>
            <w:tcW w:type="dxa" w:w="1944"/>
            <w:vAlign w:val="center"/>
            <w:shd w:fill="F4F4F4"/>
          </w:tcPr>
          <w:p>
            <w:pPr>
              <w:pStyle w:val="TableText"/>
              <w:keepNext w:val="0"/>
              <w:keepLines/>
              <w:spacing w:after="0"/>
              <w:jc w:val="center"/>
            </w:pPr>
            <w:r>
              <w:t>20,00</w:t>
            </w:r>
          </w:p>
        </w:tc>
        <w:tc>
          <w:tcPr>
            <w:tcW w:type="dxa" w:w="1944"/>
            <w:vAlign w:val="center"/>
            <w:shd w:fill="F4F4F4"/>
          </w:tcPr>
          <w:p>
            <w:pPr>
              <w:pStyle w:val="TableText"/>
              <w:keepNext w:val="0"/>
              <w:keepLines/>
              <w:spacing w:after="0"/>
              <w:jc w:val="center"/>
            </w:pPr>
            <w:r>
              <w:t>55,56</w:t>
            </w:r>
          </w:p>
        </w:tc>
        <w:tc>
          <w:tcPr>
            <w:tcW w:type="dxa" w:w="2448"/>
            <w:vAlign w:val="center"/>
            <w:shd w:fill="F4F4F4"/>
          </w:tcPr>
          <w:p>
            <w:pPr>
              <w:pStyle w:val="TableText"/>
              <w:keepNext w:val="0"/>
              <w:keepLines/>
              <w:spacing w:after="0"/>
              <w:jc w:val="center"/>
            </w:pPr>
            <w:r>
              <w:t>111,11</w:t>
            </w:r>
          </w:p>
        </w:tc>
        <w:tc>
          <w:tcPr>
            <w:tcW w:type="dxa" w:w="2448"/>
            <w:vAlign w:val="center"/>
            <w:shd w:fill="F4F4F4"/>
          </w:tcPr>
          <w:p>
            <w:pPr>
              <w:pStyle w:val="TableText"/>
              <w:keepNext w:val="0"/>
              <w:keepLines/>
              <w:spacing w:after="0"/>
              <w:jc w:val="center"/>
            </w:pPr>
            <w:r>
              <w:t>0,450</w:t>
            </w:r>
          </w:p>
        </w:tc>
      </w:tr>
      <w:tr>
        <w:trPr>
          <w:cantSplit/>
        </w:trPr>
        <w:tc>
          <w:tcPr>
            <w:tcW w:type="dxa" w:w="1440"/>
            <w:vAlign w:val="center"/>
            <w:shd w:fill="FFFFFF"/>
          </w:tcPr>
          <w:p>
            <w:pPr>
              <w:pStyle w:val="TableText"/>
              <w:keepNext w:val="0"/>
              <w:keepLines/>
              <w:spacing w:after="0"/>
              <w:jc w:val="center"/>
            </w:pPr>
            <w:r>
              <w:t>6000</w:t>
            </w:r>
          </w:p>
        </w:tc>
        <w:tc>
          <w:tcPr>
            <w:tcW w:type="dxa" w:w="1944"/>
            <w:vAlign w:val="center"/>
            <w:shd w:fill="FFFFFF"/>
          </w:tcPr>
          <w:p>
            <w:pPr>
              <w:pStyle w:val="TableText"/>
              <w:keepNext w:val="0"/>
              <w:keepLines/>
              <w:spacing w:after="0"/>
              <w:jc w:val="center"/>
            </w:pPr>
            <w:r>
              <w:t>10,00</w:t>
            </w:r>
          </w:p>
        </w:tc>
        <w:tc>
          <w:tcPr>
            <w:tcW w:type="dxa" w:w="1944"/>
            <w:vAlign w:val="center"/>
            <w:shd w:fill="FFFFFF"/>
          </w:tcPr>
          <w:p>
            <w:pPr>
              <w:pStyle w:val="TableText"/>
              <w:keepNext w:val="0"/>
              <w:keepLines/>
              <w:spacing w:after="0"/>
              <w:jc w:val="center"/>
            </w:pPr>
            <w:r>
              <w:t>27,78</w:t>
            </w:r>
          </w:p>
        </w:tc>
        <w:tc>
          <w:tcPr>
            <w:tcW w:type="dxa" w:w="2448"/>
            <w:vAlign w:val="center"/>
            <w:shd w:fill="FFFFFF"/>
          </w:tcPr>
          <w:p>
            <w:pPr>
              <w:pStyle w:val="TableText"/>
              <w:keepNext w:val="0"/>
              <w:keepLines/>
              <w:spacing w:after="0"/>
              <w:jc w:val="center"/>
            </w:pPr>
            <w:r>
              <w:t>55,56</w:t>
            </w:r>
          </w:p>
        </w:tc>
        <w:tc>
          <w:tcPr>
            <w:tcW w:type="dxa" w:w="2448"/>
            <w:vAlign w:val="center"/>
            <w:shd w:fill="FFFFFF"/>
          </w:tcPr>
          <w:p>
            <w:pPr>
              <w:pStyle w:val="TableText"/>
              <w:keepNext w:val="0"/>
              <w:keepLines/>
              <w:spacing w:after="0"/>
              <w:jc w:val="center"/>
            </w:pPr>
            <w:r>
              <w:t>0,900</w:t>
            </w:r>
          </w:p>
        </w:tc>
      </w:tr>
      <w:tr>
        <w:trPr>
          <w:cantSplit/>
        </w:trPr>
        <w:tc>
          <w:tcPr>
            <w:tcW w:type="dxa" w:w="1440"/>
            <w:vAlign w:val="center"/>
            <w:shd w:fill="F4F4F4"/>
          </w:tcPr>
          <w:p>
            <w:pPr>
              <w:pStyle w:val="TableText"/>
              <w:keepNext w:val="0"/>
              <w:keepLines/>
              <w:spacing w:after="0"/>
              <w:jc w:val="center"/>
            </w:pPr>
            <w:r>
              <w:t>10000</w:t>
            </w:r>
          </w:p>
        </w:tc>
        <w:tc>
          <w:tcPr>
            <w:tcW w:type="dxa" w:w="1944"/>
            <w:vAlign w:val="center"/>
            <w:shd w:fill="F4F4F4"/>
          </w:tcPr>
          <w:p>
            <w:pPr>
              <w:pStyle w:val="TableText"/>
              <w:keepNext w:val="0"/>
              <w:keepLines/>
              <w:spacing w:after="0"/>
              <w:jc w:val="center"/>
            </w:pPr>
            <w:r>
              <w:t>6,00</w:t>
            </w:r>
          </w:p>
        </w:tc>
        <w:tc>
          <w:tcPr>
            <w:tcW w:type="dxa" w:w="1944"/>
            <w:vAlign w:val="center"/>
            <w:shd w:fill="F4F4F4"/>
          </w:tcPr>
          <w:p>
            <w:pPr>
              <w:pStyle w:val="TableText"/>
              <w:keepNext w:val="0"/>
              <w:keepLines/>
              <w:spacing w:after="0"/>
              <w:jc w:val="center"/>
            </w:pPr>
            <w:r>
              <w:t>16,67</w:t>
            </w:r>
          </w:p>
        </w:tc>
        <w:tc>
          <w:tcPr>
            <w:tcW w:type="dxa" w:w="2448"/>
            <w:vAlign w:val="center"/>
            <w:shd w:fill="F4F4F4"/>
          </w:tcPr>
          <w:p>
            <w:pPr>
              <w:pStyle w:val="TableText"/>
              <w:keepNext w:val="0"/>
              <w:keepLines/>
              <w:spacing w:after="0"/>
              <w:jc w:val="center"/>
            </w:pPr>
            <w:r>
              <w:t>33,33</w:t>
            </w:r>
          </w:p>
        </w:tc>
        <w:tc>
          <w:tcPr>
            <w:tcW w:type="dxa" w:w="2448"/>
            <w:vAlign w:val="center"/>
            <w:shd w:fill="F4F4F4"/>
          </w:tcPr>
          <w:p>
            <w:pPr>
              <w:pStyle w:val="TableText"/>
              <w:keepNext w:val="0"/>
              <w:keepLines/>
              <w:spacing w:after="0"/>
              <w:jc w:val="center"/>
            </w:pPr>
            <w:r>
              <w:t>1,500</w:t>
            </w:r>
          </w:p>
        </w:tc>
      </w:tr>
    </w:tbl>
    <w:p>
      <w:pPr>
        <w:keepNext w:val="0"/>
        <w:keepLines/>
        <w:spacing w:after="40"/>
      </w:pPr>
      <w:r/>
    </w:p>
    <w:p>
      <w:pPr>
        <w:keepNext w:val="0"/>
        <w:keepLines/>
      </w:pPr>
      <w:r>
        <w:t>25 µs to typowa latencja drivera w warunkach przytoczonych w jego karcie, a nie gwarantowany najgorszy przypadek całego toru. Stałą część można skompensować. Nadal trzeba uwzględnić jej rozrzut, detekcję VR, filtr, scheduling i rzeczywistą iskrę. Przy 10 000 obr/min margines 2° wynosi 33,33 µs. Jeżeli polecenie po kompensacji wypada przed bieżącym znacznikiem, musi być zaplanowane wcześniej. Odwołania: A06 i A09; S02 s. 12.</w:t>
      </w:r>
    </w:p>
    <w:p>
      <w:pPr>
        <w:pStyle w:val="Heading2"/>
      </w:pPr>
      <w:r>
        <w:t>Zakres HRTIM i horyzont początku ładowania</w:t>
      </w:r>
    </w:p>
    <w:tbl>
      <w:tblPr>
        <w:jc w:val="center"/>
        <w:tblLayout w:type="fixed"/>
        <w:tblLook w:firstColumn="1" w:firstRow="1" w:lastColumn="0" w:lastRow="0" w:noHBand="0" w:noVBand="1" w:val="04A0"/>
        <w:tblW w:type="dxa" w:w="10224"/>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4752"/>
        <w:gridCol w:w="1440"/>
        <w:gridCol w:w="4032"/>
      </w:tblGrid>
      <w:tr>
        <w:trPr>
          <w:cantSplit/>
          <w:tblHeader/>
        </w:trPr>
        <w:tc>
          <w:tcPr>
            <w:tcW w:type="dxa" w:w="4752"/>
            <w:vAlign w:val="center"/>
            <w:shd w:fill="3D3D3D"/>
          </w:tcPr>
          <w:p>
            <w:pPr>
              <w:pStyle w:val="TableText"/>
              <w:keepNext w:val="0"/>
              <w:keepLines/>
              <w:spacing w:after="0"/>
            </w:pPr>
            <w:r>
              <w:rPr>
                <w:b/>
                <w:color w:val="FFFFFF"/>
              </w:rPr>
              <w:t>Przypadek obliczeniowy</w:t>
            </w:r>
          </w:p>
        </w:tc>
        <w:tc>
          <w:tcPr>
            <w:tcW w:type="dxa" w:w="1440"/>
            <w:vAlign w:val="center"/>
            <w:shd w:fill="3D3D3D"/>
          </w:tcPr>
          <w:p>
            <w:pPr>
              <w:pStyle w:val="TableText"/>
              <w:keepNext w:val="0"/>
              <w:keepLines/>
              <w:spacing w:after="0"/>
              <w:jc w:val="center"/>
            </w:pPr>
            <w:r>
              <w:rPr>
                <w:b/>
                <w:color w:val="FFFFFF"/>
              </w:rPr>
              <w:t>Wynik</w:t>
            </w:r>
          </w:p>
        </w:tc>
        <w:tc>
          <w:tcPr>
            <w:tcW w:type="dxa" w:w="4032"/>
            <w:vAlign w:val="center"/>
            <w:shd w:fill="3D3D3D"/>
          </w:tcPr>
          <w:p>
            <w:pPr>
              <w:pStyle w:val="TableText"/>
              <w:keepNext w:val="0"/>
              <w:keepLines/>
              <w:spacing w:after="0"/>
            </w:pPr>
            <w:r>
              <w:rPr>
                <w:b/>
                <w:color w:val="FFFFFF"/>
              </w:rPr>
              <w:t>Znaczenie</w:t>
            </w:r>
          </w:p>
        </w:tc>
      </w:tr>
      <w:tr>
        <w:trPr>
          <w:cantSplit/>
        </w:trPr>
        <w:tc>
          <w:tcPr>
            <w:tcW w:type="dxa" w:w="4752"/>
            <w:vAlign w:val="center"/>
            <w:shd w:fill="FFFFFF"/>
          </w:tcPr>
          <w:p>
            <w:pPr>
              <w:pStyle w:val="TableText"/>
              <w:keepNext w:val="0"/>
              <w:keepLines/>
              <w:spacing w:after="0"/>
            </w:pPr>
            <w:r>
              <w:t>16 bitów, fHRTIM 170 MHz, preskaler 128</w:t>
            </w:r>
          </w:p>
        </w:tc>
        <w:tc>
          <w:tcPr>
            <w:tcW w:type="dxa" w:w="1440"/>
            <w:vAlign w:val="center"/>
            <w:shd w:fill="FFFFFF"/>
          </w:tcPr>
          <w:p>
            <w:pPr>
              <w:pStyle w:val="TableText"/>
              <w:keepNext w:val="0"/>
              <w:keepLines/>
              <w:spacing w:after="0"/>
              <w:jc w:val="center"/>
            </w:pPr>
            <w:r>
              <w:t>1,542 ms</w:t>
            </w:r>
          </w:p>
        </w:tc>
        <w:tc>
          <w:tcPr>
            <w:tcW w:type="dxa" w:w="4032"/>
            <w:vAlign w:val="center"/>
            <w:shd w:fill="FFFFFF"/>
          </w:tcPr>
          <w:p>
            <w:pPr>
              <w:pStyle w:val="TableText"/>
              <w:keepNext w:val="0"/>
              <w:keepLines/>
              <w:spacing w:after="0"/>
            </w:pPr>
            <w:r>
              <w:t>Maksymalny okres pojedynczego licznika w opisanym trybie</w:t>
            </w:r>
          </w:p>
        </w:tc>
      </w:tr>
      <w:tr>
        <w:trPr>
          <w:cantSplit/>
        </w:trPr>
        <w:tc>
          <w:tcPr>
            <w:tcW w:type="dxa" w:w="4752"/>
            <w:vAlign w:val="center"/>
            <w:shd w:fill="F4F4F4"/>
          </w:tcPr>
          <w:p>
            <w:pPr>
              <w:pStyle w:val="TableText"/>
              <w:keepNext w:val="0"/>
              <w:keepLines/>
              <w:spacing w:after="0"/>
            </w:pPr>
            <w:r>
              <w:t>16 bitów, fHRTIM 100 MHz, preskaler 128</w:t>
            </w:r>
          </w:p>
        </w:tc>
        <w:tc>
          <w:tcPr>
            <w:tcW w:type="dxa" w:w="1440"/>
            <w:vAlign w:val="center"/>
            <w:shd w:fill="F4F4F4"/>
          </w:tcPr>
          <w:p>
            <w:pPr>
              <w:pStyle w:val="TableText"/>
              <w:keepNext w:val="0"/>
              <w:keepLines/>
              <w:spacing w:after="0"/>
              <w:jc w:val="center"/>
            </w:pPr>
            <w:r>
              <w:t>2,621 ms</w:t>
            </w:r>
          </w:p>
        </w:tc>
        <w:tc>
          <w:tcPr>
            <w:tcW w:type="dxa" w:w="4032"/>
            <w:vAlign w:val="center"/>
            <w:shd w:fill="F4F4F4"/>
          </w:tcPr>
          <w:p>
            <w:pPr>
              <w:pStyle w:val="TableText"/>
              <w:keepNext w:val="0"/>
              <w:keepLines/>
              <w:spacing w:after="0"/>
            </w:pPr>
            <w:r>
              <w:t>Zmiana zegara zmienia zakres; nie jest to zalecana nastawa</w:t>
            </w:r>
          </w:p>
        </w:tc>
      </w:tr>
      <w:tr>
        <w:trPr>
          <w:cantSplit/>
        </w:trPr>
        <w:tc>
          <w:tcPr>
            <w:tcW w:type="dxa" w:w="4752"/>
            <w:vAlign w:val="center"/>
            <w:shd w:fill="FFFFFF"/>
          </w:tcPr>
          <w:p>
            <w:pPr>
              <w:pStyle w:val="TableText"/>
              <w:keepNext w:val="0"/>
              <w:keepLines/>
              <w:spacing w:after="0"/>
            </w:pPr>
            <w:r>
              <w:t>Dwell 2 ms przy 10 000 obr/min</w:t>
            </w:r>
          </w:p>
        </w:tc>
        <w:tc>
          <w:tcPr>
            <w:tcW w:type="dxa" w:w="1440"/>
            <w:vAlign w:val="center"/>
            <w:shd w:fill="FFFFFF"/>
          </w:tcPr>
          <w:p>
            <w:pPr>
              <w:pStyle w:val="TableText"/>
              <w:keepNext w:val="0"/>
              <w:keepLines/>
              <w:spacing w:after="0"/>
              <w:jc w:val="center"/>
            </w:pPr>
            <w:r>
              <w:t>120° wału</w:t>
            </w:r>
          </w:p>
        </w:tc>
        <w:tc>
          <w:tcPr>
            <w:tcW w:type="dxa" w:w="4032"/>
            <w:vAlign w:val="center"/>
            <w:shd w:fill="FFFFFF"/>
          </w:tcPr>
          <w:p>
            <w:pPr>
              <w:pStyle w:val="TableText"/>
              <w:keepNext w:val="0"/>
              <w:keepLines/>
              <w:spacing w:after="0"/>
            </w:pPr>
            <w:r>
              <w:t>Początek ładowania leży dużo wcześniej niż sama iskra</w:t>
            </w:r>
          </w:p>
        </w:tc>
      </w:tr>
      <w:tr>
        <w:trPr>
          <w:cantSplit/>
        </w:trPr>
        <w:tc>
          <w:tcPr>
            <w:tcW w:type="dxa" w:w="4752"/>
            <w:vAlign w:val="center"/>
            <w:shd w:fill="F4F4F4"/>
          </w:tcPr>
          <w:p>
            <w:pPr>
              <w:pStyle w:val="TableText"/>
              <w:keepNext w:val="0"/>
              <w:keepLines/>
              <w:spacing w:after="0"/>
            </w:pPr>
            <w:r>
              <w:t>Iskra 15° przed GMP przy powyższym dwell</w:t>
            </w:r>
          </w:p>
        </w:tc>
        <w:tc>
          <w:tcPr>
            <w:tcW w:type="dxa" w:w="1440"/>
            <w:vAlign w:val="center"/>
            <w:shd w:fill="F4F4F4"/>
          </w:tcPr>
          <w:p>
            <w:pPr>
              <w:pStyle w:val="TableText"/>
              <w:keepNext w:val="0"/>
              <w:keepLines/>
              <w:spacing w:after="0"/>
              <w:jc w:val="center"/>
            </w:pPr>
            <w:r>
              <w:t>135° przed GMP</w:t>
            </w:r>
          </w:p>
        </w:tc>
        <w:tc>
          <w:tcPr>
            <w:tcW w:type="dxa" w:w="4032"/>
            <w:vAlign w:val="center"/>
            <w:shd w:fill="F4F4F4"/>
          </w:tcPr>
          <w:p>
            <w:pPr>
              <w:pStyle w:val="TableText"/>
              <w:keepNext w:val="0"/>
              <w:keepLines/>
              <w:spacing w:after="0"/>
            </w:pPr>
            <w:r>
              <w:t>Przykład osobnej predykcji początku impulsu</w:t>
            </w:r>
          </w:p>
        </w:tc>
      </w:tr>
    </w:tbl>
    <w:p>
      <w:pPr>
        <w:keepNext w:val="0"/>
        <w:keepLines/>
        <w:spacing w:after="40"/>
      </w:pPr>
      <w:r/>
    </w:p>
    <w:p>
      <w:pPr>
        <w:keepNext w:val="0"/>
        <w:keepLines/>
      </w:pPr>
      <w:r>
        <w:t>Obliczenie zakresu używa maksymalnej wartości 65 535, efektywnego zwielokrotnienia zegara przez 32 i podziału przez 128 opisanych w AN4539. Projekt musi potwierdzić własny tryb, zegar i krzem. Przykładowe 2 ms nie jest zmierzonym ani zalecanym dwell cewki Beta. Odwołania: A05 i A10; S08 i S09.</w:t>
      </w:r>
    </w:p>
    <w:p>
      <w:pPr>
        <w:pStyle w:val="Heading2"/>
      </w:pPr>
      <w:r>
        <w:t>Co mówi percentyl 99 przecinek 9</w:t>
      </w:r>
    </w:p>
    <w:tbl>
      <w:tblPr>
        <w:jc w:val="center"/>
        <w:tblLayout w:type="fixed"/>
        <w:tblLook w:firstColumn="1" w:firstRow="1" w:lastColumn="0" w:lastRow="0" w:noHBand="0" w:noVBand="1" w:val="04A0"/>
        <w:tblW w:type="dxa" w:w="10224"/>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440"/>
        <w:gridCol w:w="8784"/>
      </w:tblGrid>
      <w:tr>
        <w:trPr>
          <w:cantSplit/>
          <w:tblHeader/>
        </w:trPr>
        <w:tc>
          <w:tcPr>
            <w:tcW w:type="dxa" w:w="1440"/>
            <w:vAlign w:val="center"/>
            <w:shd w:fill="3D3D3D"/>
          </w:tcPr>
          <w:p>
            <w:pPr>
              <w:pStyle w:val="TableText"/>
              <w:keepNext w:val="0"/>
              <w:keepLines/>
              <w:spacing w:after="0"/>
              <w:jc w:val="center"/>
            </w:pPr>
            <w:r>
              <w:rPr>
                <w:b/>
                <w:color w:val="FFFFFF"/>
              </w:rPr>
              <w:t>RPM</w:t>
            </w:r>
          </w:p>
        </w:tc>
        <w:tc>
          <w:tcPr>
            <w:tcW w:type="dxa" w:w="8784"/>
            <w:vAlign w:val="center"/>
            <w:shd w:fill="3D3D3D"/>
          </w:tcPr>
          <w:p>
            <w:pPr>
              <w:pStyle w:val="TableText"/>
              <w:keepNext w:val="0"/>
              <w:keepLines/>
              <w:spacing w:after="0"/>
            </w:pPr>
            <w:r>
              <w:rPr>
                <w:b/>
                <w:color w:val="FFFFFF"/>
              </w:rPr>
              <w:t>0,1 procent zdarzeń daje przeciętnie jeden na</w:t>
            </w:r>
          </w:p>
        </w:tc>
      </w:tr>
      <w:tr>
        <w:trPr>
          <w:cantSplit/>
        </w:trPr>
        <w:tc>
          <w:tcPr>
            <w:tcW w:type="dxa" w:w="1440"/>
            <w:vAlign w:val="center"/>
            <w:shd w:fill="FFFFFF"/>
          </w:tcPr>
          <w:p>
            <w:pPr>
              <w:pStyle w:val="TableText"/>
              <w:keepNext w:val="0"/>
              <w:keepLines/>
              <w:spacing w:after="0"/>
              <w:jc w:val="center"/>
            </w:pPr>
            <w:r>
              <w:t>1500</w:t>
            </w:r>
          </w:p>
        </w:tc>
        <w:tc>
          <w:tcPr>
            <w:tcW w:type="dxa" w:w="8784"/>
            <w:vAlign w:val="center"/>
            <w:shd w:fill="FFFFFF"/>
          </w:tcPr>
          <w:p>
            <w:pPr>
              <w:pStyle w:val="TableText"/>
              <w:keepNext w:val="0"/>
              <w:keepLines/>
              <w:spacing w:after="0"/>
            </w:pPr>
            <w:r>
              <w:t>40 s</w:t>
            </w:r>
          </w:p>
        </w:tc>
      </w:tr>
      <w:tr>
        <w:trPr>
          <w:cantSplit/>
        </w:trPr>
        <w:tc>
          <w:tcPr>
            <w:tcW w:type="dxa" w:w="1440"/>
            <w:vAlign w:val="center"/>
            <w:shd w:fill="F4F4F4"/>
          </w:tcPr>
          <w:p>
            <w:pPr>
              <w:pStyle w:val="TableText"/>
              <w:keepNext w:val="0"/>
              <w:keepLines/>
              <w:spacing w:after="0"/>
              <w:jc w:val="center"/>
            </w:pPr>
            <w:r>
              <w:t>3000</w:t>
            </w:r>
          </w:p>
        </w:tc>
        <w:tc>
          <w:tcPr>
            <w:tcW w:type="dxa" w:w="8784"/>
            <w:vAlign w:val="center"/>
            <w:shd w:fill="F4F4F4"/>
          </w:tcPr>
          <w:p>
            <w:pPr>
              <w:pStyle w:val="TableText"/>
              <w:keepNext w:val="0"/>
              <w:keepLines/>
              <w:spacing w:after="0"/>
            </w:pPr>
            <w:r>
              <w:t>20 s</w:t>
            </w:r>
          </w:p>
        </w:tc>
      </w:tr>
      <w:tr>
        <w:trPr>
          <w:cantSplit/>
        </w:trPr>
        <w:tc>
          <w:tcPr>
            <w:tcW w:type="dxa" w:w="1440"/>
            <w:vAlign w:val="center"/>
            <w:shd w:fill="FFFFFF"/>
          </w:tcPr>
          <w:p>
            <w:pPr>
              <w:pStyle w:val="TableText"/>
              <w:keepNext w:val="0"/>
              <w:keepLines/>
              <w:spacing w:after="0"/>
              <w:jc w:val="center"/>
            </w:pPr>
            <w:r>
              <w:t>6000</w:t>
            </w:r>
          </w:p>
        </w:tc>
        <w:tc>
          <w:tcPr>
            <w:tcW w:type="dxa" w:w="8784"/>
            <w:vAlign w:val="center"/>
            <w:shd w:fill="FFFFFF"/>
          </w:tcPr>
          <w:p>
            <w:pPr>
              <w:pStyle w:val="TableText"/>
              <w:keepNext w:val="0"/>
              <w:keepLines/>
              <w:spacing w:after="0"/>
            </w:pPr>
            <w:r>
              <w:t>10 s</w:t>
            </w:r>
          </w:p>
        </w:tc>
      </w:tr>
      <w:tr>
        <w:trPr>
          <w:cantSplit/>
        </w:trPr>
        <w:tc>
          <w:tcPr>
            <w:tcW w:type="dxa" w:w="1440"/>
            <w:vAlign w:val="center"/>
            <w:shd w:fill="F4F4F4"/>
          </w:tcPr>
          <w:p>
            <w:pPr>
              <w:pStyle w:val="TableText"/>
              <w:keepNext w:val="0"/>
              <w:keepLines/>
              <w:spacing w:after="0"/>
              <w:jc w:val="center"/>
            </w:pPr>
            <w:r>
              <w:t>10000</w:t>
            </w:r>
          </w:p>
        </w:tc>
        <w:tc>
          <w:tcPr>
            <w:tcW w:type="dxa" w:w="8784"/>
            <w:vAlign w:val="center"/>
            <w:shd w:fill="F4F4F4"/>
          </w:tcPr>
          <w:p>
            <w:pPr>
              <w:pStyle w:val="TableText"/>
              <w:keepNext w:val="0"/>
              <w:keepLines/>
              <w:spacing w:after="0"/>
            </w:pPr>
            <w:r>
              <w:t>6 s</w:t>
            </w:r>
          </w:p>
        </w:tc>
      </w:tr>
    </w:tbl>
    <w:p>
      <w:pPr>
        <w:keepNext w:val="0"/>
        <w:keepLines/>
        <w:spacing w:after="40"/>
      </w:pPr>
      <w:r/>
    </w:p>
    <w:p>
      <w:pPr>
        <w:keepNext w:val="0"/>
        <w:keepLines/>
      </w:pPr>
      <w:r>
        <w:t>Tabela ilustruje częstość odpowiadającą udziałowi 0,1%, a nie stwierdza występowania błędów. Przy niezależnych, jednakowo rozłożonych zdarzeniach potrzeba co najmniej 2995 prób bez przekroczenia, aby jednostronna granica 95% dla prawdopodobieństwa przekroczenia była poniżej 0,001. Te założenia zwykle nie są spełnione przez skorelowane, niestacjonarne iskry podczas jazdy. Próby należy rozdzielić według warunków, pokazać niepewność i maksimum; wielka liczba nominalnych cykli nie zastępuje scenariuszy usterek. Odwołanie: A08.</w:t>
      </w:r>
    </w:p>
    <w:p>
      <w:pPr>
        <w:pStyle w:val="Heading2"/>
      </w:pPr>
      <w:r>
        <w:t>Budżet uśpienia na akumulatorze</w:t>
      </w:r>
    </w:p>
    <w:tbl>
      <w:tblPr>
        <w:jc w:val="center"/>
        <w:tblLayout w:type="fixed"/>
        <w:tblLook w:firstColumn="1" w:firstRow="1" w:lastColumn="0" w:lastRow="0" w:noHBand="0" w:noVBand="1" w:val="04A0"/>
        <w:tblW w:type="dxa" w:w="10224"/>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4464"/>
        <w:gridCol w:w="1944"/>
        <w:gridCol w:w="3816"/>
      </w:tblGrid>
      <w:tr>
        <w:trPr>
          <w:cantSplit/>
          <w:tblHeader/>
        </w:trPr>
        <w:tc>
          <w:tcPr>
            <w:tcW w:type="dxa" w:w="4464"/>
            <w:vAlign w:val="center"/>
            <w:shd w:fill="3D3D3D"/>
          </w:tcPr>
          <w:p>
            <w:pPr>
              <w:pStyle w:val="TableText"/>
              <w:keepNext w:val="0"/>
              <w:keepLines/>
              <w:spacing w:after="0"/>
            </w:pPr>
            <w:r>
              <w:rPr>
                <w:b/>
                <w:color w:val="FFFFFF"/>
              </w:rPr>
              <w:t>Pozycja kontrolna</w:t>
            </w:r>
          </w:p>
        </w:tc>
        <w:tc>
          <w:tcPr>
            <w:tcW w:type="dxa" w:w="1944"/>
            <w:vAlign w:val="center"/>
            <w:shd w:fill="3D3D3D"/>
          </w:tcPr>
          <w:p>
            <w:pPr>
              <w:pStyle w:val="TableText"/>
              <w:keepNext w:val="0"/>
              <w:keepLines/>
              <w:spacing w:after="0"/>
              <w:jc w:val="center"/>
            </w:pPr>
            <w:r>
              <w:rPr>
                <w:b/>
                <w:color w:val="FFFFFF"/>
              </w:rPr>
              <w:t>Wartość</w:t>
            </w:r>
          </w:p>
        </w:tc>
        <w:tc>
          <w:tcPr>
            <w:tcW w:type="dxa" w:w="3816"/>
            <w:vAlign w:val="center"/>
            <w:shd w:fill="3D3D3D"/>
          </w:tcPr>
          <w:p>
            <w:pPr>
              <w:pStyle w:val="TableText"/>
              <w:keepNext w:val="0"/>
              <w:keepLines/>
              <w:spacing w:after="0"/>
            </w:pPr>
            <w:r>
              <w:rPr>
                <w:b/>
                <w:color w:val="FFFFFF"/>
              </w:rPr>
              <w:t>Zastrzeżenie</w:t>
            </w:r>
          </w:p>
        </w:tc>
      </w:tr>
      <w:tr>
        <w:trPr>
          <w:cantSplit/>
        </w:trPr>
        <w:tc>
          <w:tcPr>
            <w:tcW w:type="dxa" w:w="4464"/>
            <w:vAlign w:val="center"/>
            <w:shd w:fill="FFFFFF"/>
          </w:tcPr>
          <w:p>
            <w:pPr>
              <w:pStyle w:val="TableText"/>
              <w:keepNext w:val="0"/>
              <w:keepLines/>
              <w:spacing w:after="0"/>
            </w:pPr>
            <w:r>
              <w:t>Suma czterech jawnych wierszy dossier</w:t>
            </w:r>
          </w:p>
        </w:tc>
        <w:tc>
          <w:tcPr>
            <w:tcW w:type="dxa" w:w="1944"/>
            <w:vAlign w:val="center"/>
            <w:shd w:fill="FFFFFF"/>
          </w:tcPr>
          <w:p>
            <w:pPr>
              <w:pStyle w:val="TableText"/>
              <w:keepNext w:val="0"/>
              <w:keepLines/>
              <w:spacing w:after="0"/>
              <w:jc w:val="center"/>
            </w:pPr>
            <w:r>
              <w:t>51–110 µA</w:t>
            </w:r>
          </w:p>
        </w:tc>
        <w:tc>
          <w:tcPr>
            <w:tcW w:type="dxa" w:w="3816"/>
            <w:vAlign w:val="center"/>
            <w:shd w:fill="FFFFFF"/>
          </w:tcPr>
          <w:p>
            <w:pPr>
              <w:pStyle w:val="TableText"/>
              <w:keepNext w:val="0"/>
              <w:keepLines/>
              <w:spacing w:after="0"/>
            </w:pPr>
            <w:r>
              <w:t>Dossier podaje 70–135 µA; nie opisuje dodatkowego składnika</w:t>
            </w:r>
          </w:p>
        </w:tc>
      </w:tr>
      <w:tr>
        <w:trPr>
          <w:cantSplit/>
        </w:trPr>
        <w:tc>
          <w:tcPr>
            <w:tcW w:type="dxa" w:w="4464"/>
            <w:vAlign w:val="center"/>
            <w:shd w:fill="F4F4F4"/>
          </w:tcPr>
          <w:p>
            <w:pPr>
              <w:pStyle w:val="TableText"/>
              <w:keepNext w:val="0"/>
              <w:keepLines/>
              <w:spacing w:after="0"/>
            </w:pPr>
            <w:r>
              <w:t>VBG08H-E standby przy VS 13,5 V</w:t>
            </w:r>
          </w:p>
        </w:tc>
        <w:tc>
          <w:tcPr>
            <w:tcW w:type="dxa" w:w="1944"/>
            <w:vAlign w:val="center"/>
            <w:shd w:fill="F4F4F4"/>
          </w:tcPr>
          <w:p>
            <w:pPr>
              <w:pStyle w:val="TableText"/>
              <w:keepNext w:val="0"/>
              <w:keepLines/>
              <w:spacing w:after="0"/>
              <w:jc w:val="center"/>
            </w:pPr>
            <w:r>
              <w:t>5 mA typowo</w:t>
            </w:r>
          </w:p>
        </w:tc>
        <w:tc>
          <w:tcPr>
            <w:tcW w:type="dxa" w:w="3816"/>
            <w:vAlign w:val="center"/>
            <w:shd w:fill="F4F4F4"/>
          </w:tcPr>
          <w:p>
            <w:pPr>
              <w:pStyle w:val="TableText"/>
              <w:keepNext w:val="0"/>
              <w:keepLines/>
              <w:spacing w:after="0"/>
            </w:pPr>
            <w:r>
              <w:t>Jeśli VS pozostaje podłączone, limit ECU jest przekroczony ponad 33 razy</w:t>
            </w:r>
          </w:p>
        </w:tc>
      </w:tr>
      <w:tr>
        <w:trPr>
          <w:cantSplit/>
        </w:trPr>
        <w:tc>
          <w:tcPr>
            <w:tcW w:type="dxa" w:w="4464"/>
            <w:vAlign w:val="center"/>
            <w:shd w:fill="FFFFFF"/>
          </w:tcPr>
          <w:p>
            <w:pPr>
              <w:pStyle w:val="TableText"/>
              <w:keepNext w:val="0"/>
              <w:keepLines/>
              <w:spacing w:after="0"/>
            </w:pPr>
            <w:r>
              <w:t>STM32G474 Stop 1, 3,0 V, 25°C</w:t>
            </w:r>
          </w:p>
        </w:tc>
        <w:tc>
          <w:tcPr>
            <w:tcW w:type="dxa" w:w="1944"/>
            <w:vAlign w:val="center"/>
            <w:shd w:fill="FFFFFF"/>
          </w:tcPr>
          <w:p>
            <w:pPr>
              <w:pStyle w:val="TableText"/>
              <w:keepNext w:val="0"/>
              <w:keepLines/>
              <w:spacing w:after="0"/>
              <w:jc w:val="center"/>
            </w:pPr>
            <w:r>
              <w:t>80,5 µA typowo</w:t>
            </w:r>
          </w:p>
        </w:tc>
        <w:tc>
          <w:tcPr>
            <w:tcW w:type="dxa" w:w="3816"/>
            <w:vAlign w:val="center"/>
            <w:shd w:fill="FFFFFF"/>
          </w:tcPr>
          <w:p>
            <w:pPr>
              <w:pStyle w:val="TableText"/>
              <w:keepNext w:val="0"/>
              <w:keepLines/>
              <w:spacing w:after="0"/>
            </w:pPr>
            <w:r>
              <w:t>640 µA maksymalnie w tym punkcie; prąd szyny nie jest prądem akumulatora</w:t>
            </w:r>
          </w:p>
        </w:tc>
      </w:tr>
      <w:tr>
        <w:trPr>
          <w:cantSplit/>
        </w:trPr>
        <w:tc>
          <w:tcPr>
            <w:tcW w:type="dxa" w:w="4464"/>
            <w:vAlign w:val="center"/>
            <w:shd w:fill="F4F4F4"/>
          </w:tcPr>
          <w:p>
            <w:pPr>
              <w:pStyle w:val="TableText"/>
              <w:keepNext w:val="0"/>
              <w:keepLines/>
              <w:spacing w:after="0"/>
            </w:pPr>
            <w:r>
              <w:t>Limit ECU i zestawu</w:t>
            </w:r>
          </w:p>
        </w:tc>
        <w:tc>
          <w:tcPr>
            <w:tcW w:type="dxa" w:w="1944"/>
            <w:vAlign w:val="center"/>
            <w:shd w:fill="F4F4F4"/>
          </w:tcPr>
          <w:p>
            <w:pPr>
              <w:pStyle w:val="TableText"/>
              <w:keepNext w:val="0"/>
              <w:keepLines/>
              <w:spacing w:after="0"/>
              <w:jc w:val="center"/>
            </w:pPr>
            <w:r>
              <w:t>150 i 250 µA</w:t>
            </w:r>
          </w:p>
        </w:tc>
        <w:tc>
          <w:tcPr>
            <w:tcW w:type="dxa" w:w="3816"/>
            <w:vAlign w:val="center"/>
            <w:shd w:fill="F4F4F4"/>
          </w:tcPr>
          <w:p>
            <w:pPr>
              <w:pStyle w:val="TableText"/>
              <w:keepNext w:val="0"/>
              <w:keepLines/>
              <w:spacing w:after="0"/>
            </w:pPr>
            <w:r>
              <w:t>Wymaga zakresu napięcia, temperatury i czasu uśredniania</w:t>
            </w:r>
          </w:p>
        </w:tc>
      </w:tr>
    </w:tbl>
    <w:p>
      <w:pPr>
        <w:keepNext w:val="0"/>
        <w:keepLines/>
        <w:spacing w:after="40"/>
      </w:pPr>
      <w:r/>
    </w:p>
    <w:p>
      <w:pPr>
        <w:keepNext w:val="0"/>
        <w:keepLines/>
      </w:pPr>
      <w:r>
        <w:t>Prądu obciążenia 3,3 V lub 5 V nie dodaje się bezpośrednio do prądów wejściowych przetwornic. Należy przeliczyć moc wyjścia na moc wejścia z rzeczywistą sprawnością przy małym obciążeniu i doliczyć prąd własny, upływy oraz wybudzenia. W budżecie muszą pojawić się oba CAN i wszystkie domeny stale podłączone do akumulatora. Odwołania: A26–A27 i A50; S02, S04–S06.</w:t>
      </w:r>
    </w:p>
    <w:p>
      <w:pPr>
        <w:pStyle w:val="Heading2"/>
      </w:pPr>
      <w:r>
        <w:t>Pamięć czarnej skrzynki</w:t>
      </w:r>
    </w:p>
    <w:p>
      <w:pPr>
        <w:keepNext w:val="0"/>
        <w:keepLines/>
      </w:pPr>
      <w:r>
        <w:t>17 minut to 1020 sekund. Dla 8 000 000 bajtów daje to około 7843 B/s, a dla 8 MiB około 8224 B/s dostępnej przepustowości zapisu. To górna wartość przed rezerwą, nagłówkami, znacznikami i nieużywanymi blokami. Pamięć modułu Riverdi nie jest automatycznie pamięcią ECU przewidzianą dla czarnej skrzynki. Odwołanie: A39.</w:t>
      </w:r>
    </w:p>
    <w:p>
      <w:bookmarkStart w:id="60" w:name="s10"/>
      <w:pPr>
        <w:pStyle w:val="Heading1"/>
      </w:pPr>
      <w:r>
        <w:t>10 Kolejność prac i kryteria bramek</w:t>
      </w:r>
      <w:bookmarkEnd w:id="60"/>
    </w:p>
    <w:p>
      <w:pPr>
        <w:keepNext w:val="0"/>
        <w:keepLines/>
      </w:pPr>
      <w:r>
        <w:t>Kolejność C, D, H i protokoły ma sens dopiero po naprawie wejściowych założeń fizycznych. Wymagania H muszą być zatwierdzone przed G0; szczegółowy podział pamięci i projekt aktualizacji mogą zależeć od D. Przygotowanie przypadków użycia aplikacji może zacząć się wcześniej niż finalny format map. Strategię wtrysku B/C należy odłożyć.</w:t>
      </w:r>
    </w:p>
    <w:p>
      <w:pPr>
        <w:pStyle w:val="Heading2"/>
      </w:pPr>
      <w:r>
        <w:t>Krok 1 Utrwalenie źródeł i zakresu</w:t>
      </w:r>
    </w:p>
    <w:p>
      <w:pPr>
        <w:keepNext w:val="0"/>
        <w:keepLines/>
      </w:pPr>
      <w:r>
        <w:t>Utworzyć repozytorium i odzyskiwalną kopię. Wprowadzić dostarczone wersje DOC-001–010 oraz rejestr A01–A50. Oddzielić baseline MVP-A od rezerw B/C. Uzgodnić, które funkcje naprawdę należą do pierwszego wyrobu. Dowód: commit, lista wersji, przywrócenie kopii i przypisanie właścicieli.</w:t>
      </w:r>
    </w:p>
    <w:p>
      <w:pPr>
        <w:pStyle w:val="Heading2"/>
      </w:pPr>
      <w:r>
        <w:t>Krok 2 Pasywna charakterystyka fabrycznego motocykla</w:t>
      </w:r>
    </w:p>
    <w:p>
      <w:pPr>
        <w:keepNext w:val="0"/>
        <w:keepLines/>
      </w:pPr>
      <w:r>
        <w:t>Bez podłączania nowego ECU jako sterownika ustalić typ i numer cewki, sposób wyzwalania fabrycznego zapłonu, przebiegi VR względem niezależnego GMP oraz instalację zasilania i rozrusznika. Jeżeli konieczny jest uruchomiony silnik, pozostaje on sterowany układem OEM. Takie badanie wymaga osobnej konfiguracji pomiarowej; nie jest aktywną integracją nowego ECU.</w:t>
      </w:r>
    </w:p>
    <w:p>
      <w:pPr>
        <w:pStyle w:val="Heading2"/>
      </w:pPr>
      <w:r>
        <w:t>Krok 3 Zamknięcie G0</w:t>
      </w:r>
    </w:p>
    <w:p>
      <w:pPr>
        <w:keepNext w:val="0"/>
        <w:keepLines/>
      </w:pPr>
      <w:r>
        <w:t>Zatwierdzić wymagania MVP-A, A1–A12, obwiednię środowiska i napięcia, bezwzględną granicę błędu zapłonu, politykę live tuningu, wymagania bootloadera i budzenia oraz budżet wykonalności. Każda wartość ma źródło lub uzasadnioną procedurę późniejszej kalibracji z już ustalonym kryterium odbioru. Przyszłe wymagania B/C nie mogą maskować braków wspólnego sprzętu.</w:t>
      </w:r>
    </w:p>
    <w:p>
      <w:pPr>
        <w:pStyle w:val="Heading2"/>
      </w:pPr>
      <w:r>
        <w:t>Krok 4 Zamknięcie G1</w:t>
      </w:r>
    </w:p>
    <w:p>
      <w:pPr>
        <w:keepNext w:val="0"/>
        <w:keepLines/>
      </w:pPr>
      <w:r>
        <w:t>Wybrać tor energii, cewkę i znacznik VR. Zamknąć logikę odcięcia, wygaszania, resetu, K4, watchdog i aktualizacji. Ustalić domeny snu, zachowanie bez HMI, operacje aplikacji i zgodność protokołów. Model usterek określa, co rzeczywiście jest niezależne od CPU i zegara.</w:t>
      </w:r>
    </w:p>
    <w:p>
      <w:pPr>
        <w:pStyle w:val="Heading2"/>
      </w:pPr>
      <w:r>
        <w:t>Krok 5 Dokończenie C oraz D i szczegółów H</w:t>
      </w:r>
    </w:p>
    <w:p>
      <w:pPr>
        <w:keepNext w:val="0"/>
        <w:keepLines/>
      </w:pPr>
      <w:r>
        <w:t>Na poprawnej bazie opracować rozruch, limiter, dwell od napięcia, predykcję początku i końca impulsu. Następnie schemat danych, walidację, pamięć, transakcje i migrację. Po tym finalny projekt bootloadera oraz CAN/USB. Wymagania aplikacji i błędnych operacji powstają równolegle z przypadkami użycia, przed zamknięciem formatu transportowego.</w:t>
      </w:r>
    </w:p>
    <w:p>
      <w:pPr>
        <w:pStyle w:val="Heading2"/>
      </w:pPr>
      <w:r>
        <w:t>Krok 6 Badania wykonalności i G2</w:t>
      </w:r>
    </w:p>
    <w:p>
      <w:pPr>
        <w:keepNext w:val="0"/>
        <w:keepLines/>
      </w:pPr>
      <w:r>
        <w:t>Rozszerzyć stanowisko Fazy 3 o analogowe VR i reprezentatywne obciążenia. Zamknąć schemat, BOM z pełnymi numerami, macierz pinów i DMA, wiązkę, najgorsze przypadki, FMEA, EMC, termikę HMI oraz bilans snu. Przed PCB przeprowadzić punktowy przegląd przez drugiego inżyniera.</w:t>
      </w:r>
    </w:p>
    <w:p>
      <w:pPr>
        <w:pStyle w:val="Heading2"/>
      </w:pPr>
      <w:r>
        <w:t>Krok 7 G3</w:t>
      </w:r>
    </w:p>
    <w:p>
      <w:pPr>
        <w:keepNext w:val="0"/>
        <w:keepLines/>
      </w:pPr>
      <w:r>
        <w:t>Wykazać wymagania na stanowisku z wstrzyknięciami usterek, badaniami aktualizacji, danych map, przeciążenia logowaniem i protokołem. Zamknąć standard kodowania, odtwarzalny build oraz niezależny przegląd logiki krytycznej. Każdy wynik wskazuje konfigurację i wersję. Testy proponowane w rozdziale 11 nie są jeszcze wykonane.</w:t>
      </w:r>
    </w:p>
    <w:p>
      <w:pPr>
        <w:pStyle w:val="Heading2"/>
      </w:pPr>
      <w:r>
        <w:t>Krok 8 G4 i G5</w:t>
      </w:r>
    </w:p>
    <w:p>
      <w:pPr>
        <w:keepNext w:val="0"/>
        <w:keepLines/>
      </w:pPr>
      <w:r>
        <w:t>Aktywną integrację nowego ECU prowadzić dopiero po zgodzie wynikającej z wcześniejszych bramek. G4 potwierdza zapłon, mapę, limiter i EMC na silniku w kontrolowanych warunkach. G5 potwierdza środowisko, czytelność HMI i zachowanie w rzeczywistym enduro. Żadna z tych bramek nie służy do pierwszego ustalania podstawowych parametrów bezpieczeństwa.</w:t>
      </w:r>
    </w:p>
    <w:p>
      <w:pPr>
        <w:keepNext w:val="0"/>
        <w:keepLines/>
      </w:pPr>
      <w:r>
        <w:rPr>
          <w:b/>
        </w:rPr>
        <w:t xml:space="preserve">Sposób zamykania </w:t>
      </w:r>
      <w:r>
        <w:t>Nie należy wpisywać hurtowo wszystkich nowych ustaleń jako od razu zamknięte po dodaniu zdania do specyfikacji. Dla każdej pozycji należy rozdzielić przyjętą decyzję, wdrożony mechanizm i zaakceptowany dowód, z terminem odpowiadającym faktycznej zależności. Ten raport nie tworzy ani nie zatwierdza zmian w projekcie w imieniu właściciela.</w:t>
      </w:r>
    </w:p>
    <w:p>
      <w:bookmarkStart w:id="61" w:name="s11"/>
      <w:pPr>
        <w:pStyle w:val="Heading1"/>
      </w:pPr>
      <w:r>
        <w:t>11 Plan weryfikacji</w:t>
      </w:r>
      <w:bookmarkEnd w:id="61"/>
    </w:p>
    <w:p>
      <w:pPr>
        <w:keepNext w:val="0"/>
        <w:keepLines/>
      </w:pPr>
      <w:r>
        <w:t>T-AUD-01–T-AUD-20 to nowe propozycje audytowe. Nie zastępują 107 identyfikatorów testów projektu i żaden z nich nie został tu wykonany. Przed użyciem należy włączyć je do traceability, zatwierdzić granice i przypisać przyrządy. Stanowisko ma wykrywać również nieplanowaną iskrę, fałszywe odcięcie i niezamierzone uzbrojenie.</w:t>
      </w:r>
    </w:p>
    <w:p>
      <w:pPr>
        <w:pStyle w:val="Heading2"/>
      </w:pPr>
      <w:r>
        <w:t>T-AUD-01 Tor energii i zgodność cewki</w:t>
      </w:r>
    </w:p>
    <w:p>
      <w:pPr>
        <w:pStyle w:val="Metadata"/>
        <w:keepNext/>
        <w:keepLines/>
      </w:pPr>
      <w:r>
        <w:t>Powiązane ustalenia A01, A13</w:t>
      </w:r>
    </w:p>
    <w:p>
      <w:pPr>
        <w:keepNext w:val="0"/>
        <w:keepLines/>
      </w:pPr>
      <w:r>
        <w:rPr>
          <w:b/>
        </w:rPr>
        <w:t xml:space="preserve">Warunki </w:t>
      </w:r>
      <w:r>
        <w:t>Zidentyfikować OEM CDI i cewkę. Dla wybranej topologii mierzyć energię, prąd, czas, temperaturę i przebieg iskry przy skrajnych napięciach oraz reprezentatywnym obciążeniu.</w:t>
      </w:r>
    </w:p>
    <w:p>
      <w:pPr>
        <w:keepNext w:val="0"/>
        <w:keepLines/>
      </w:pPr>
      <w:r>
        <w:rPr>
          <w:b/>
        </w:rPr>
        <w:t xml:space="preserve">Wynik wymagany </w:t>
      </w:r>
      <w:r>
        <w:t>Wymagane zapalenie mieszanki i energia w zatwierdzonej obwiedni; brak przekroczenia obciążalności cewki i drivera.</w:t>
      </w:r>
    </w:p>
    <w:p>
      <w:pPr>
        <w:keepNext w:val="0"/>
        <w:keepLines/>
      </w:pPr>
      <w:r>
        <w:rPr>
          <w:b/>
        </w:rPr>
        <w:t xml:space="preserve">Wyposażenie </w:t>
      </w:r>
      <w:r>
        <w:t>Sonda prądu, właściwe sondy napięciowe, obciążenie lub stanowisko zapłonowe, kontrola temperatury.</w:t>
      </w:r>
    </w:p>
    <w:p>
      <w:pPr>
        <w:pStyle w:val="Heading2"/>
      </w:pPr>
      <w:r>
        <w:t>T-AUD-02 Elektryczny znacznik i szczelina VR</w:t>
      </w:r>
    </w:p>
    <w:p>
      <w:pPr>
        <w:pStyle w:val="Metadata"/>
        <w:keepNext/>
        <w:keepLines/>
      </w:pPr>
      <w:r>
        <w:t>Powiązane ustalenia A06, A07, A09</w:t>
      </w:r>
    </w:p>
    <w:p>
      <w:pPr>
        <w:keepNext w:val="0"/>
        <w:keepLines/>
      </w:pPr>
      <w:r>
        <w:rPr>
          <w:b/>
        </w:rPr>
        <w:t xml:space="preserve">Warunki </w:t>
      </w:r>
      <w:r>
        <w:t>Mierzyć analogowy VR i COUT razem z niezależną pozycją wału. Rozruch, cofnięcie, pełne RPM, zmiana szczeliny i temperatury; zachować surowe przebiegi.</w:t>
      </w:r>
    </w:p>
    <w:p>
      <w:pPr>
        <w:keepNext w:val="0"/>
        <w:keepLines/>
      </w:pPr>
      <w:r>
        <w:rPr>
          <w:b/>
        </w:rPr>
        <w:t xml:space="preserve">Wynik wymagany </w:t>
      </w:r>
      <w:r>
        <w:t>Offset i rozrzut mieszczą się w ustalonym budżecie; kąt nie jest wyprowadzany wyłącznie z mechanicznej krawędzi.</w:t>
      </w:r>
    </w:p>
    <w:p>
      <w:pPr>
        <w:keepNext w:val="0"/>
        <w:keepLines/>
      </w:pPr>
      <w:r>
        <w:rPr>
          <w:b/>
        </w:rPr>
        <w:t xml:space="preserve">Wyposażenie </w:t>
      </w:r>
      <w:r>
        <w:t>Enkoder lub niezależne odniesienie GMP, oscyloskop różnicowy, przyrząd do szczeliny i bicia.</w:t>
      </w:r>
    </w:p>
    <w:p>
      <w:pPr>
        <w:pStyle w:val="Heading2"/>
      </w:pPr>
      <w:r>
        <w:t>T-AUD-03 Polaryzacja i awaryjne wygaszanie</w:t>
      </w:r>
    </w:p>
    <w:p>
      <w:pPr>
        <w:pStyle w:val="Metadata"/>
        <w:keepNext/>
        <w:keepLines/>
      </w:pPr>
      <w:r>
        <w:t>Powiązane ustalenia A02, A03, A16</w:t>
      </w:r>
    </w:p>
    <w:p>
      <w:pPr>
        <w:keepNext w:val="0"/>
        <w:keepLines/>
      </w:pPr>
      <w:r>
        <w:rPr>
          <w:b/>
        </w:rPr>
        <w:t xml:space="preserve">Warunki </w:t>
      </w:r>
      <w:r>
        <w:t>Wstrzykiwać reset, odłączenie MCU, kill i zanik każdej szyny podczas różnych faz ładowania. Próbować przerw i zwarć przewodu kill.</w:t>
      </w:r>
    </w:p>
    <w:p>
      <w:pPr>
        <w:keepNext w:val="0"/>
        <w:keepLines/>
      </w:pPr>
      <w:r>
        <w:rPr>
          <w:b/>
        </w:rPr>
        <w:t xml:space="preserve">Wynik wymagany </w:t>
      </w:r>
      <w:r>
        <w:t>Właściwy stan fizycznego EN oraz wygaszenie bez nieplanowanej iskry; czas reakcji spełnia zatwierdzony limit.</w:t>
      </w:r>
    </w:p>
    <w:p>
      <w:pPr>
        <w:keepNext w:val="0"/>
        <w:keepLines/>
      </w:pPr>
      <w:r>
        <w:rPr>
          <w:b/>
        </w:rPr>
        <w:t xml:space="preserve">Wyposażenie </w:t>
      </w:r>
      <w:r>
        <w:t>Wielokanałowy oscyloskop, sonda prądu, wykrywanie iskry, sterowane wyłączanie domen.</w:t>
      </w:r>
    </w:p>
    <w:p>
      <w:pPr>
        <w:pStyle w:val="Heading2"/>
      </w:pPr>
      <w:r>
        <w:t>T-AUD-04 Nadzór czasu i średniej energii</w:t>
      </w:r>
    </w:p>
    <w:p>
      <w:pPr>
        <w:pStyle w:val="Metadata"/>
        <w:keepNext/>
        <w:keepLines/>
      </w:pPr>
      <w:r>
        <w:t>Powiązane ustalenia A04, A05, A10</w:t>
      </w:r>
    </w:p>
    <w:p>
      <w:pPr>
        <w:keepNext w:val="0"/>
        <w:keepLines/>
      </w:pPr>
      <w:r>
        <w:rPr>
          <w:b/>
        </w:rPr>
        <w:t xml:space="preserve">Warunki </w:t>
      </w:r>
      <w:r>
        <w:t>Zawiesić CPU, zatrzymać lub zmienić zegar, nadpisać okres i compare, generować lawinę triggerów i błędne DMA. Sprawdzić granice rejestrów.</w:t>
      </w:r>
    </w:p>
    <w:p>
      <w:pPr>
        <w:keepNext w:val="0"/>
        <w:keepLines/>
      </w:pPr>
      <w:r>
        <w:rPr>
          <w:b/>
        </w:rPr>
        <w:t xml:space="preserve">Wynik wymagany </w:t>
      </w:r>
      <w:r>
        <w:t>Żaden pojedynczy impuls i seria impulsów nie przekracza granic energii; każda usterka z modelu ma określoną reakcję.</w:t>
      </w:r>
    </w:p>
    <w:p>
      <w:pPr>
        <w:keepNext w:val="0"/>
        <w:keepLines/>
      </w:pPr>
      <w:r>
        <w:rPr>
          <w:b/>
        </w:rPr>
        <w:t xml:space="preserve">Wyposażenie </w:t>
      </w:r>
      <w:r>
        <w:t>Generator usterek, debug, pomiar impulsu i prądu, rejestr konfiguracji timera.</w:t>
      </w:r>
    </w:p>
    <w:p>
      <w:pPr>
        <w:pStyle w:val="Heading2"/>
      </w:pPr>
      <w:r>
        <w:t>T-AUD-05 Rozruch i synchronizacja</w:t>
      </w:r>
    </w:p>
    <w:p>
      <w:pPr>
        <w:pStyle w:val="Metadata"/>
        <w:keepNext/>
        <w:keepLines/>
      </w:pPr>
      <w:r>
        <w:t>Powiązane ustalenia A11, A12, A28</w:t>
      </w:r>
    </w:p>
    <w:p>
      <w:pPr>
        <w:keepNext w:val="0"/>
        <w:keepLines/>
      </w:pPr>
      <w:r>
        <w:rPr>
          <w:b/>
        </w:rPr>
        <w:t xml:space="preserve">Warunki </w:t>
      </w:r>
      <w:r>
        <w:t>Start z różnych pozycji, bardzo wolny obrót, odbicie wału, podwójne zbocze, zanik znacznika, brak HMI i start po śnie.</w:t>
      </w:r>
    </w:p>
    <w:p>
      <w:pPr>
        <w:keepNext w:val="0"/>
        <w:keepLines/>
      </w:pPr>
      <w:r>
        <w:rPr>
          <w:b/>
        </w:rPr>
        <w:t xml:space="preserve">Wynik wymagany </w:t>
      </w:r>
      <w:r>
        <w:t>Pierwsza iskra jest dozwolona dopiero w poprawnym stanie; brak nieplanowanej iskry i przewidywalne odzyskanie synchronizacji.</w:t>
      </w:r>
    </w:p>
    <w:p>
      <w:pPr>
        <w:keepNext w:val="0"/>
        <w:keepLines/>
      </w:pPr>
      <w:r>
        <w:rPr>
          <w:b/>
        </w:rPr>
        <w:t xml:space="preserve">Wyposażenie </w:t>
      </w:r>
      <w:r>
        <w:t>Odtwarzacz analogowego VR, odniesienie wału, rejestr stanów i sygnałów fizycznych.</w:t>
      </w:r>
    </w:p>
    <w:p>
      <w:pPr>
        <w:pStyle w:val="Heading2"/>
      </w:pPr>
      <w:r>
        <w:t>T-AUD-06 Dokładność w dynamice</w:t>
      </w:r>
    </w:p>
    <w:p>
      <w:pPr>
        <w:pStyle w:val="Metadata"/>
        <w:keepNext/>
        <w:keepLines/>
      </w:pPr>
      <w:r>
        <w:t>Powiązane ustalenia A07–A10</w:t>
      </w:r>
    </w:p>
    <w:p>
      <w:pPr>
        <w:keepNext w:val="0"/>
        <w:keepLines/>
      </w:pPr>
      <w:r>
        <w:rPr>
          <w:b/>
        </w:rPr>
        <w:t xml:space="preserve">Warunki </w:t>
      </w:r>
      <w:r>
        <w:t>Odtwarzać rzeczywiste przebiegi zmiany RPM, pulsacji i odciążenia; stratyfikować wyniki po warunkach i obciążeniu CPU.</w:t>
      </w:r>
    </w:p>
    <w:p>
      <w:pPr>
        <w:keepNext w:val="0"/>
        <w:keepLines/>
      </w:pPr>
      <w:r>
        <w:rPr>
          <w:b/>
        </w:rPr>
        <w:t xml:space="preserve">Wynik wymagany </w:t>
      </w:r>
      <w:r>
        <w:t>Percentyl, maksymalny zbyt wczesny i zbyt późny błąd oraz energia spełniają oddzielne wymagania; podana niepewność.</w:t>
      </w:r>
    </w:p>
    <w:p>
      <w:pPr>
        <w:keepNext w:val="0"/>
        <w:keepLines/>
      </w:pPr>
      <w:r>
        <w:rPr>
          <w:b/>
        </w:rPr>
        <w:t xml:space="preserve">Wyposażenie </w:t>
      </w:r>
      <w:r>
        <w:t>Niezależny enkoder, znacznik rzeczywistej iskry, synchronizowany zapis danych.</w:t>
      </w:r>
    </w:p>
    <w:p>
      <w:pPr>
        <w:pStyle w:val="Heading2"/>
      </w:pPr>
      <w:r>
        <w:t>T-AUD-07 Watchdog i brownout</w:t>
      </w:r>
    </w:p>
    <w:p>
      <w:pPr>
        <w:pStyle w:val="Metadata"/>
        <w:keepNext/>
        <w:keepLines/>
      </w:pPr>
      <w:r>
        <w:t>Powiązane ustalenia A14, A25</w:t>
      </w:r>
    </w:p>
    <w:p>
      <w:pPr>
        <w:keepNext w:val="0"/>
        <w:keepLines/>
      </w:pPr>
      <w:r>
        <w:rPr>
          <w:b/>
        </w:rPr>
        <w:t xml:space="preserve">Warunki </w:t>
      </w:r>
      <w:r>
        <w:t>Zawiesić każde krytyczne zadanie przy działającym ISR i komunikacji. Zmienić WDI, zegar i napięcie, także przed ustaleniem się szyn.</w:t>
      </w:r>
    </w:p>
    <w:p>
      <w:pPr>
        <w:keepNext w:val="0"/>
        <w:keepLines/>
      </w:pPr>
      <w:r>
        <w:rPr>
          <w:b/>
        </w:rPr>
        <w:t xml:space="preserve">Wynik wymagany </w:t>
      </w:r>
      <w:r>
        <w:t>WDI nie maskuje martwej funkcji; znany czas do wygaszenia i poprawne stany przy napięciu poniżej działania watchdoga.</w:t>
      </w:r>
    </w:p>
    <w:p>
      <w:pPr>
        <w:keepNext w:val="0"/>
        <w:keepLines/>
      </w:pPr>
      <w:r>
        <w:rPr>
          <w:b/>
        </w:rPr>
        <w:t xml:space="preserve">Wyposażenie </w:t>
      </w:r>
      <w:r>
        <w:t>Wstrzyknięcia błędów zadań, programowane zasilanie, pomiar WDI, WDO i prądu cewki.</w:t>
      </w:r>
    </w:p>
    <w:p>
      <w:pPr>
        <w:pStyle w:val="Heading2"/>
      </w:pPr>
      <w:r>
        <w:t>T-AUD-08 Trwałość K4 i ponowne uzbrojenie</w:t>
      </w:r>
    </w:p>
    <w:p>
      <w:pPr>
        <w:pStyle w:val="Metadata"/>
        <w:keepNext/>
        <w:keepLines/>
      </w:pPr>
      <w:r>
        <w:t>Powiązane ustalenia A15, A17</w:t>
      </w:r>
    </w:p>
    <w:p>
      <w:pPr>
        <w:keepNext w:val="0"/>
        <w:keepLines/>
      </w:pPr>
      <w:r>
        <w:rPr>
          <w:b/>
        </w:rPr>
        <w:t xml:space="preserve">Warunki </w:t>
      </w:r>
      <w:r>
        <w:t>Utrata VR przy poruszającym się wale, reset w K4, zanik zasilania, przycisk odblokowania stale aktywny i powrót sygnału.</w:t>
      </w:r>
    </w:p>
    <w:p>
      <w:pPr>
        <w:keepNext w:val="0"/>
        <w:keepLines/>
      </w:pPr>
      <w:r>
        <w:rPr>
          <w:b/>
        </w:rPr>
        <w:t xml:space="preserve">Wynik wymagany </w:t>
      </w:r>
      <w:r>
        <w:t>Brak VR nie staje się potwierdzonym zerem; wymagane ponowne uzbrojenie nie może wynikać z samego restartu.</w:t>
      </w:r>
    </w:p>
    <w:p>
      <w:pPr>
        <w:keepNext w:val="0"/>
        <w:keepLines/>
      </w:pPr>
      <w:r>
        <w:rPr>
          <w:b/>
        </w:rPr>
        <w:t xml:space="preserve">Wyposażenie </w:t>
      </w:r>
      <w:r>
        <w:t>Generator VR, kontrola resetów i zasilania, rejestr fizycznego zezwolenia drivera.</w:t>
      </w:r>
    </w:p>
    <w:p>
      <w:pPr>
        <w:pStyle w:val="Heading2"/>
      </w:pPr>
      <w:r>
        <w:t>T-AUD-09 Mapy i ograniczenia komend</w:t>
      </w:r>
    </w:p>
    <w:p>
      <w:pPr>
        <w:pStyle w:val="Metadata"/>
        <w:keepNext/>
        <w:keepLines/>
      </w:pPr>
      <w:r>
        <w:t>Powiązane ustalenia A21, A22, A40</w:t>
      </w:r>
    </w:p>
    <w:p>
      <w:pPr>
        <w:keepNext w:val="0"/>
        <w:keepLines/>
      </w:pPr>
      <w:r>
        <w:rPr>
          <w:b/>
        </w:rPr>
        <w:t xml:space="preserve">Warunki </w:t>
      </w:r>
      <w:r>
        <w:t>Błędne jednostki, osie, zakresy i CRC, mapy 2D dla 1D, stara wersja, powtórzone komendy i transfer przy pracującym ECU.</w:t>
      </w:r>
    </w:p>
    <w:p>
      <w:pPr>
        <w:keepNext w:val="0"/>
        <w:keepLines/>
      </w:pPr>
      <w:r>
        <w:rPr>
          <w:b/>
        </w:rPr>
        <w:t xml:space="preserve">Wynik wymagany </w:t>
      </w:r>
      <w:r>
        <w:t>Odrzucenie błędnej konfiguracji i aktywacji w stanie zabronionym; niezmieniona poprawna mapa do pełnego atomowego zatwierdzenia.</w:t>
      </w:r>
    </w:p>
    <w:p>
      <w:pPr>
        <w:keepNext w:val="0"/>
        <w:keepLines/>
      </w:pPr>
      <w:r>
        <w:rPr>
          <w:b/>
        </w:rPr>
        <w:t xml:space="preserve">Wyposażenie </w:t>
      </w:r>
      <w:r>
        <w:t>Testy protokołu, odtwarzanie danych, pomiar czasu krytycznej ścieżki i wersji aktywnej mapy.</w:t>
      </w:r>
    </w:p>
    <w:p>
      <w:pPr>
        <w:pStyle w:val="Heading2"/>
      </w:pPr>
      <w:r>
        <w:t>T-AUD-10 Aktualizacja i odzyskanie</w:t>
      </w:r>
    </w:p>
    <w:p>
      <w:pPr>
        <w:pStyle w:val="Metadata"/>
        <w:keepNext/>
        <w:keepLines/>
      </w:pPr>
      <w:r>
        <w:t>Powiązane ustalenia A23, A24</w:t>
      </w:r>
    </w:p>
    <w:p>
      <w:pPr>
        <w:keepNext w:val="0"/>
        <w:keepLines/>
      </w:pPr>
      <w:r>
        <w:rPr>
          <w:b/>
        </w:rPr>
        <w:t xml:space="preserve">Warunki </w:t>
      </w:r>
      <w:r>
        <w:t>Przerwać CAN/USB i zasilanie na każdym etapie aktualizacji ECU i HMI, zmieniać wersje, resetować i symulować uszkodzony VR.</w:t>
      </w:r>
    </w:p>
    <w:p>
      <w:pPr>
        <w:keepNext w:val="0"/>
        <w:keepLines/>
      </w:pPr>
      <w:r>
        <w:rPr>
          <w:b/>
        </w:rPr>
        <w:t xml:space="preserve">Wynik wymagany </w:t>
      </w:r>
      <w:r>
        <w:t>Wyjścia rozbrojone przez całą procedurę; poprawny obraz albo dostępny recovery; brak częściowo aktywnej konfiguracji.</w:t>
      </w:r>
    </w:p>
    <w:p>
      <w:pPr>
        <w:keepNext w:val="0"/>
        <w:keepLines/>
      </w:pPr>
      <w:r>
        <w:rPr>
          <w:b/>
        </w:rPr>
        <w:t xml:space="preserve">Wyposażenie </w:t>
      </w:r>
      <w:r>
        <w:t>Automatyczny odłącznik zasilania, debug, analiza flash i fizycznych wyjść.</w:t>
      </w:r>
    </w:p>
    <w:p>
      <w:pPr>
        <w:pStyle w:val="Heading2"/>
      </w:pPr>
      <w:r>
        <w:t>T-AUD-11 Zasilanie i awarie domen</w:t>
      </w:r>
    </w:p>
    <w:p>
      <w:pPr>
        <w:pStyle w:val="Metadata"/>
        <w:keepNext/>
        <w:keepLines/>
      </w:pPr>
      <w:r>
        <w:t>Powiązane ustalenia A18, A25, A37</w:t>
      </w:r>
    </w:p>
    <w:p>
      <w:pPr>
        <w:keepNext w:val="0"/>
        <w:keepLines/>
      </w:pPr>
      <w:r>
        <w:rPr>
          <w:b/>
        </w:rPr>
        <w:t xml:space="preserve">Warunki </w:t>
      </w:r>
      <w:r>
        <w:t>Skrajne napięcie, profil rozruchu i zakłóceń, odwrotne podłączenie, zwarcia szyn, zaniki masy oraz backfeed przez sygnały.</w:t>
      </w:r>
    </w:p>
    <w:p>
      <w:pPr>
        <w:keepNext w:val="0"/>
        <w:keepLines/>
      </w:pPr>
      <w:r>
        <w:rPr>
          <w:b/>
        </w:rPr>
        <w:t xml:space="preserve">Wynik wymagany </w:t>
      </w:r>
      <w:r>
        <w:t>Zdefiniowana praca lub bezpieczne wyłączenie; brak fałszywego kąta i niezamierzonej iskry. Nadzór nie mierzy uszkodzonej szyny przez nią samą.</w:t>
      </w:r>
    </w:p>
    <w:p>
      <w:pPr>
        <w:keepNext w:val="0"/>
        <w:keepLines/>
      </w:pPr>
      <w:r>
        <w:rPr>
          <w:b/>
        </w:rPr>
        <w:t xml:space="preserve">Wyposażenie </w:t>
      </w:r>
      <w:r>
        <w:t>Programowane źródło, uzasadniony generator zakłóceń, sondy różnicowe i pomiar domen.</w:t>
      </w:r>
    </w:p>
    <w:p>
      <w:pPr>
        <w:pStyle w:val="Heading2"/>
      </w:pPr>
      <w:r>
        <w:t>T-AUD-12 Prąd uśpienia i wybudzanie</w:t>
      </w:r>
    </w:p>
    <w:p>
      <w:pPr>
        <w:pStyle w:val="Metadata"/>
        <w:keepNext/>
        <w:keepLines/>
      </w:pPr>
      <w:r>
        <w:t>Powiązane ustalenia A26–A28, A50</w:t>
      </w:r>
    </w:p>
    <w:p>
      <w:pPr>
        <w:keepNext w:val="0"/>
        <w:keepLines/>
      </w:pPr>
      <w:r>
        <w:rPr>
          <w:b/>
        </w:rPr>
        <w:t xml:space="preserve">Warunki </w:t>
      </w:r>
      <w:r>
        <w:t>Mierzyć akumulator przez długi okres w określonych temperaturach i napięciach; oba CAN, HMI, czujniki, USB i lawina wake.</w:t>
      </w:r>
    </w:p>
    <w:p>
      <w:pPr>
        <w:keepNext w:val="0"/>
        <w:keepLines/>
      </w:pPr>
      <w:r>
        <w:rPr>
          <w:b/>
        </w:rPr>
        <w:t xml:space="preserve">Wynik wymagany </w:t>
      </w:r>
      <w:r>
        <w:t>Średnia i skrajne warunki spełniają 150/250 µA zgodnie z zatwierdzoną definicją; skuteczny każdy dopuszczony sposób startu.</w:t>
      </w:r>
    </w:p>
    <w:p>
      <w:pPr>
        <w:keepNext w:val="0"/>
        <w:keepLines/>
      </w:pPr>
      <w:r>
        <w:rPr>
          <w:b/>
        </w:rPr>
        <w:t xml:space="preserve">Wyposażenie </w:t>
      </w:r>
      <w:r>
        <w:t>Miernik małych prądów z rejestracją, kontrolowana temperatura, instrumentacja domen.</w:t>
      </w:r>
    </w:p>
    <w:p>
      <w:pPr>
        <w:pStyle w:val="Heading2"/>
      </w:pPr>
      <w:r>
        <w:t>T-AUD-13 Termika i reakcje zastępcze</w:t>
      </w:r>
    </w:p>
    <w:p>
      <w:pPr>
        <w:pStyle w:val="Metadata"/>
        <w:keepNext/>
        <w:keepLines/>
      </w:pPr>
      <w:r>
        <w:t>Powiązane ustalenia A19, A29, A49</w:t>
      </w:r>
    </w:p>
    <w:p>
      <w:pPr>
        <w:keepNext w:val="0"/>
        <w:keepLines/>
      </w:pPr>
      <w:r>
        <w:rPr>
          <w:b/>
        </w:rPr>
        <w:t xml:space="preserve">Warunki </w:t>
      </w:r>
      <w:r>
        <w:t>Obciążyć ECU, cewkę i każdy kanał; badać obudowę HMI na słońcu lub w równoważnym, uzasadnionym narażeniu, po zatrzymaniu.</w:t>
      </w:r>
    </w:p>
    <w:p>
      <w:pPr>
        <w:keepNext w:val="0"/>
        <w:keepLines/>
      </w:pPr>
      <w:r>
        <w:rPr>
          <w:b/>
        </w:rPr>
        <w:t xml:space="preserve">Wynik wymagany </w:t>
      </w:r>
      <w:r>
        <w:t>Brak przekroczenia pracy elementów; derating rzeczywiście obniża narażenie; czytelność i ostrzeżenia spełniają wymagania.</w:t>
      </w:r>
    </w:p>
    <w:p>
      <w:pPr>
        <w:keepNext w:val="0"/>
        <w:keepLines/>
      </w:pPr>
      <w:r>
        <w:rPr>
          <w:b/>
        </w:rPr>
        <w:t xml:space="preserve">Wyposażenie </w:t>
      </w:r>
      <w:r>
        <w:t>Termopary, kamera termiczna pomocniczo, źródło narażenia, pomiar jasności według ustalonej metody.</w:t>
      </w:r>
    </w:p>
    <w:p>
      <w:pPr>
        <w:pStyle w:val="Heading2"/>
      </w:pPr>
      <w:r>
        <w:t>T-AUD-14 IMU i fałszywa wywrotka</w:t>
      </w:r>
    </w:p>
    <w:p>
      <w:pPr>
        <w:pStyle w:val="Metadata"/>
        <w:keepNext/>
        <w:keepLines/>
      </w:pPr>
      <w:r>
        <w:t>Powiązane ustalenia A31, A32</w:t>
      </w:r>
    </w:p>
    <w:p>
      <w:pPr>
        <w:keepNext w:val="0"/>
        <w:keepLines/>
      </w:pPr>
      <w:r>
        <w:rPr>
          <w:b/>
        </w:rPr>
        <w:t xml:space="preserve">Warunki </w:t>
      </w:r>
      <w:r>
        <w:t>Normalny przechył, skok, spadek, drgania, błąd osi, zawieszona transmisja i nieaktualne dane; najpierw potwierdzić wybrany komponent.</w:t>
      </w:r>
    </w:p>
    <w:p>
      <w:pPr>
        <w:keepNext w:val="0"/>
        <w:keepLines/>
      </w:pPr>
      <w:r>
        <w:rPr>
          <w:b/>
        </w:rPr>
        <w:t xml:space="preserve">Wynik wymagany </w:t>
      </w:r>
      <w:r>
        <w:t>Brak nieuzasadnionego odcięcia w dozwolonych manewrach; skuteczna reakcja w zdefiniowanym scenariuszu wywrotki.</w:t>
      </w:r>
    </w:p>
    <w:p>
      <w:pPr>
        <w:keepNext w:val="0"/>
        <w:keepLines/>
      </w:pPr>
      <w:r>
        <w:rPr>
          <w:b/>
        </w:rPr>
        <w:t xml:space="preserve">Wyposażenie </w:t>
      </w:r>
      <w:r>
        <w:t>Rejestr IMU z odniesieniem ruchu, stanowisko ruchu lub odtwarzanie reprezentatywnych danych.</w:t>
      </w:r>
    </w:p>
    <w:p>
      <w:pPr>
        <w:pStyle w:val="Heading2"/>
      </w:pPr>
      <w:r>
        <w:t>T-AUD-15 Czujnik biegu i wiązka</w:t>
      </w:r>
    </w:p>
    <w:p>
      <w:pPr>
        <w:pStyle w:val="Metadata"/>
        <w:keepNext/>
        <w:keepLines/>
      </w:pPr>
      <w:r>
        <w:t>Powiązane ustalenia A35–A37</w:t>
      </w:r>
    </w:p>
    <w:p>
      <w:pPr>
        <w:keepNext w:val="0"/>
        <w:keepLines/>
      </w:pPr>
      <w:r>
        <w:rPr>
          <w:b/>
        </w:rPr>
        <w:t xml:space="preserve">Warunki </w:t>
      </w:r>
      <w:r>
        <w:t>Granice bębna, położenia pośrednie, magnes, odłączenie masy i czujnika, zwarcia do innych obwodów oraz pomyłki styków.</w:t>
      </w:r>
    </w:p>
    <w:p>
      <w:pPr>
        <w:keepNext w:val="0"/>
        <w:keepLines/>
      </w:pPr>
      <w:r>
        <w:rPr>
          <w:b/>
        </w:rPr>
        <w:t xml:space="preserve">Wynik wymagany </w:t>
      </w:r>
      <w:r>
        <w:t>Niejednoznaczna pozycja nie daje pewnego biegu N; brak niezamierzonego sterowania; obciążalność styków wykazana.</w:t>
      </w:r>
    </w:p>
    <w:p>
      <w:pPr>
        <w:keepNext w:val="0"/>
        <w:keepLines/>
      </w:pPr>
      <w:r>
        <w:rPr>
          <w:b/>
        </w:rPr>
        <w:t xml:space="preserve">Wyposażenie </w:t>
      </w:r>
      <w:r>
        <w:t>Przyrząd pozycjonujący, stanowisko usterek wiązki, pomiar ADC i temperatury styków.</w:t>
      </w:r>
    </w:p>
    <w:p>
      <w:pPr>
        <w:pStyle w:val="Heading2"/>
      </w:pPr>
      <w:r>
        <w:t>T-AUD-16 Rozrusznik i kanały mocy</w:t>
      </w:r>
    </w:p>
    <w:p>
      <w:pPr>
        <w:pStyle w:val="Metadata"/>
        <w:keepNext/>
        <w:keepLines/>
      </w:pPr>
      <w:r>
        <w:t>Powiązane ustalenia A17, A34</w:t>
      </w:r>
    </w:p>
    <w:p>
      <w:pPr>
        <w:keepNext w:val="0"/>
        <w:keepLines/>
      </w:pPr>
      <w:r>
        <w:rPr>
          <w:b/>
        </w:rPr>
        <w:t xml:space="preserve">Warunki </w:t>
      </w:r>
      <w:r>
        <w:t>Zidentyfikować przekaźnik lub silnik. Przytrzymany przycisk przez reset, styki sklejone, zwarcie kanału, prąd rozruchowy i energia wyłączenia.</w:t>
      </w:r>
    </w:p>
    <w:p>
      <w:pPr>
        <w:keepNext w:val="0"/>
        <w:keepLines/>
      </w:pPr>
      <w:r>
        <w:rPr>
          <w:b/>
        </w:rPr>
        <w:t xml:space="preserve">Wynik wymagany </w:t>
      </w:r>
      <w:r>
        <w:t>Sterowanie zgodne ze świadomie zaakceptowaną polityką; brak automatycznego startu i przekroczenia obciążalności.</w:t>
      </w:r>
    </w:p>
    <w:p>
      <w:pPr>
        <w:keepNext w:val="0"/>
        <w:keepLines/>
      </w:pPr>
      <w:r>
        <w:rPr>
          <w:b/>
        </w:rPr>
        <w:t xml:space="preserve">Wyposażenie </w:t>
      </w:r>
      <w:r>
        <w:t>Reprezentatywny przekaźnik i obciążenia, sonda prądu, pomiar napięcia, odłącznik energii stanowiska.</w:t>
      </w:r>
    </w:p>
    <w:p>
      <w:pPr>
        <w:pStyle w:val="Heading2"/>
      </w:pPr>
      <w:r>
        <w:t>T-AUD-17 HMI i przyciski</w:t>
      </w:r>
    </w:p>
    <w:p>
      <w:pPr>
        <w:pStyle w:val="Metadata"/>
        <w:keepNext/>
        <w:keepLines/>
      </w:pPr>
      <w:r>
        <w:t>Powiązane ustalenia A29, A30, A40</w:t>
      </w:r>
    </w:p>
    <w:p>
      <w:pPr>
        <w:keepNext w:val="0"/>
        <w:keepLines/>
      </w:pPr>
      <w:r>
        <w:rPr>
          <w:b/>
        </w:rPr>
        <w:t xml:space="preserve">Warunki </w:t>
      </w:r>
      <w:r>
        <w:t>Tolerancje drabinki, dwa przyciski, wilgoć, stan stale aktywny, utrata CAN, stare ramki i restart modułu.</w:t>
      </w:r>
    </w:p>
    <w:p>
      <w:pPr>
        <w:keepNext w:val="0"/>
        <w:keepLines/>
      </w:pPr>
      <w:r>
        <w:rPr>
          <w:b/>
        </w:rPr>
        <w:t xml:space="preserve">Wynik wymagany </w:t>
      </w:r>
      <w:r>
        <w:t>Niejednoznaczna komenda odrzucona; stare dane jawnie oznaczone; ważne decyzje są egzekwowane również w ECU.</w:t>
      </w:r>
    </w:p>
    <w:p>
      <w:pPr>
        <w:keepNext w:val="0"/>
        <w:keepLines/>
      </w:pPr>
      <w:r>
        <w:rPr>
          <w:b/>
        </w:rPr>
        <w:t xml:space="preserve">Wyposażenie </w:t>
      </w:r>
      <w:r>
        <w:t>Dekada rezystancyjna lub tolerowane elementy, tester ramek, pomiar progów ADC.</w:t>
      </w:r>
    </w:p>
    <w:p>
      <w:pPr>
        <w:pStyle w:val="Heading2"/>
      </w:pPr>
      <w:r>
        <w:t>T-AUD-18 EMC i zakłócony analogowy VR</w:t>
      </w:r>
    </w:p>
    <w:p>
      <w:pPr>
        <w:pStyle w:val="Metadata"/>
        <w:keepNext/>
        <w:keepLines/>
      </w:pPr>
      <w:r>
        <w:t>Powiązane ustalenia A06, A12, A25, A38</w:t>
      </w:r>
    </w:p>
    <w:p>
      <w:pPr>
        <w:keepNext w:val="0"/>
        <w:keepLines/>
      </w:pPr>
      <w:r>
        <w:rPr>
          <w:b/>
        </w:rPr>
        <w:t xml:space="preserve">Warunki </w:t>
      </w:r>
      <w:r>
        <w:t>Analogowe przebiegi różnicowe i wspólne, impulsy w oknie i poza nim, zakłócenia od rzeczywistych reprezentatywnych obciążeń.</w:t>
      </w:r>
    </w:p>
    <w:p>
      <w:pPr>
        <w:keepNext w:val="0"/>
        <w:keepLines/>
      </w:pPr>
      <w:r>
        <w:rPr>
          <w:b/>
        </w:rPr>
        <w:t xml:space="preserve">Wynik wymagany </w:t>
      </w:r>
      <w:r>
        <w:t>Brak nieplanowanych iskier, resetów z uzbrojeniem oraz fałszywego K4; kontrolowana utrata i odzyskanie synchronizacji.</w:t>
      </w:r>
    </w:p>
    <w:p>
      <w:pPr>
        <w:keepNext w:val="0"/>
        <w:keepLines/>
      </w:pPr>
      <w:r>
        <w:rPr>
          <w:b/>
        </w:rPr>
        <w:t xml:space="preserve">Wyposażenie </w:t>
      </w:r>
      <w:r>
        <w:t>Generator przebiegów, właściwe sprzęganie zakłóceń, reprezentatywna wiązka i obciążenia.</w:t>
      </w:r>
    </w:p>
    <w:p>
      <w:pPr>
        <w:pStyle w:val="Heading2"/>
      </w:pPr>
      <w:r>
        <w:t>T-AUD-19 Czarna skrzynka i obciążenie zasobów</w:t>
      </w:r>
    </w:p>
    <w:p>
      <w:pPr>
        <w:pStyle w:val="Metadata"/>
        <w:keepNext/>
        <w:keepLines/>
      </w:pPr>
      <w:r>
        <w:t>Powiązane ustalenia A39, A40</w:t>
      </w:r>
    </w:p>
    <w:p>
      <w:pPr>
        <w:keepNext w:val="0"/>
        <w:keepLines/>
      </w:pPr>
      <w:r>
        <w:rPr>
          <w:b/>
        </w:rPr>
        <w:t xml:space="preserve">Warunki </w:t>
      </w:r>
      <w:r>
        <w:t>Zapełnienie i kasowanie flash, kilka zdarzeń, odcięcie zasilania, równoczesny CAN/USB i maksymalne RPM.</w:t>
      </w:r>
    </w:p>
    <w:p>
      <w:pPr>
        <w:keepNext w:val="0"/>
        <w:keepLines/>
      </w:pPr>
      <w:r>
        <w:rPr>
          <w:b/>
        </w:rPr>
        <w:t xml:space="preserve">Wynik wymagany </w:t>
      </w:r>
      <w:r>
        <w:t>Zapis zgodny z oknem i zasadą nadpisywania; uszkodzony rekord wykrywalny; zapłon nadal dotrzymuje czasu i energii.</w:t>
      </w:r>
    </w:p>
    <w:p>
      <w:pPr>
        <w:keepNext w:val="0"/>
        <w:keepLines/>
      </w:pPr>
      <w:r>
        <w:rPr>
          <w:b/>
        </w:rPr>
        <w:t xml:space="preserve">Wyposażenie </w:t>
      </w:r>
      <w:r>
        <w:t>Odtwarzacz triggera, kontrola zasilania, pomiar latencji, dekoder rekordów.</w:t>
      </w:r>
    </w:p>
    <w:p>
      <w:pPr>
        <w:pStyle w:val="Heading2"/>
      </w:pPr>
      <w:r>
        <w:t>T-AUD-20 Egzekwowanie procesu i odtwarzalność</w:t>
      </w:r>
    </w:p>
    <w:p>
      <w:pPr>
        <w:pStyle w:val="Metadata"/>
        <w:keepNext/>
        <w:keepLines/>
      </w:pPr>
      <w:r>
        <w:t>Powiązane ustalenia A41–A48</w:t>
      </w:r>
    </w:p>
    <w:p>
      <w:pPr>
        <w:keepNext w:val="0"/>
        <w:keepLines/>
      </w:pPr>
      <w:r>
        <w:rPr>
          <w:b/>
        </w:rPr>
        <w:t xml:space="preserve">Warunki </w:t>
      </w:r>
      <w:r>
        <w:t>Wprowadzić parametr bez źródła, osierocone wymaganie i sprzeczny status; odtworzyć wydanie oraz build ze wskazanego baseline.</w:t>
      </w:r>
    </w:p>
    <w:p>
      <w:pPr>
        <w:keepNext w:val="0"/>
        <w:keepLines/>
      </w:pPr>
      <w:r>
        <w:rPr>
          <w:b/>
        </w:rPr>
        <w:t xml:space="preserve">Wynik wymagany </w:t>
      </w:r>
      <w:r>
        <w:t>Bramka zatrzymuje brak dowodu; odtworzony pakiet ma te same wersje i wyniki; recenzent rozstrzyga uwagi krytyczne.</w:t>
      </w:r>
    </w:p>
    <w:p>
      <w:pPr>
        <w:keepNext w:val="0"/>
        <w:keepLines/>
      </w:pPr>
      <w:r>
        <w:rPr>
          <w:b/>
        </w:rPr>
        <w:t xml:space="preserve">Wyposażenie </w:t>
      </w:r>
      <w:r>
        <w:t>Repozytorium, kopia odzyskiwania, automatyczne kontrole i zapis niezależnego przeglądu.</w:t>
      </w:r>
    </w:p>
    <w:p>
      <w:pPr>
        <w:keepNext w:val="0"/>
        <w:keepLines/>
      </w:pPr>
      <w:r>
        <w:rPr>
          <w:b/>
        </w:rPr>
        <w:t xml:space="preserve">Warunek wspólny </w:t>
      </w:r>
      <w:r>
        <w:t>Najpierw należy wykazać zdolność stanowiska do pomiaru. Dla kryterium 1° niepewność pomiaru nie może konsumować całego limitu, a niezależne odniesienie kąta nie może korzystać z badanego MAX9926. Każdy wynik ma obejmować numer PCB, pełny BOM, wersję firmware, konfigurację zegarów, temperaturę, napięcie, obciążenie, surowe dane i sposób oceny.</w:t>
      </w:r>
    </w:p>
    <w:p>
      <w:bookmarkStart w:id="62" w:name="s12"/>
      <w:pPr>
        <w:pStyle w:val="Heading1"/>
      </w:pPr>
      <w:r>
        <w:t>12 Pokrycie dokumentu i status wcześniejszych napraw</w:t>
      </w:r>
      <w:bookmarkEnd w:id="62"/>
    </w:p>
    <w:tbl>
      <w:tblPr>
        <w:jc w:val="center"/>
        <w:tblLayout w:type="fixed"/>
        <w:tblLook w:firstColumn="1" w:firstRow="1" w:lastColumn="0" w:lastRow="0" w:noHBand="0" w:noVBand="1" w:val="04A0"/>
        <w:tblW w:type="dxa" w:w="10224"/>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1656"/>
        <w:gridCol w:w="4392"/>
        <w:gridCol w:w="4176"/>
      </w:tblGrid>
      <w:tr>
        <w:trPr>
          <w:cantSplit/>
          <w:tblHeader/>
        </w:trPr>
        <w:tc>
          <w:tcPr>
            <w:tcW w:type="dxa" w:w="1656"/>
            <w:vAlign w:val="center"/>
            <w:shd w:fill="3D3D3D"/>
          </w:tcPr>
          <w:p>
            <w:pPr>
              <w:pStyle w:val="TableText"/>
              <w:keepNext w:val="0"/>
              <w:keepLines/>
              <w:spacing w:after="0"/>
            </w:pPr>
            <w:r>
              <w:rPr>
                <w:b/>
                <w:color w:val="FFFFFF"/>
              </w:rPr>
              <w:t>Rozdział dossier</w:t>
            </w:r>
          </w:p>
        </w:tc>
        <w:tc>
          <w:tcPr>
            <w:tcW w:type="dxa" w:w="4392"/>
            <w:vAlign w:val="center"/>
            <w:shd w:fill="3D3D3D"/>
          </w:tcPr>
          <w:p>
            <w:pPr>
              <w:pStyle w:val="TableText"/>
              <w:keepNext w:val="0"/>
              <w:keepLines/>
              <w:spacing w:after="0"/>
            </w:pPr>
            <w:r>
              <w:rPr>
                <w:b/>
                <w:color w:val="FFFFFF"/>
              </w:rPr>
              <w:t>Zakres przeglądu</w:t>
            </w:r>
          </w:p>
        </w:tc>
        <w:tc>
          <w:tcPr>
            <w:tcW w:type="dxa" w:w="4176"/>
            <w:vAlign w:val="center"/>
            <w:shd w:fill="3D3D3D"/>
          </w:tcPr>
          <w:p>
            <w:pPr>
              <w:pStyle w:val="TableText"/>
              <w:keepNext w:val="0"/>
              <w:keepLines/>
              <w:spacing w:after="0"/>
            </w:pPr>
            <w:r>
              <w:rPr>
                <w:b/>
                <w:color w:val="FFFFFF"/>
              </w:rPr>
              <w:t>Odwołania do raportu</w:t>
            </w:r>
          </w:p>
        </w:tc>
      </w:tr>
      <w:tr>
        <w:trPr>
          <w:cantSplit/>
        </w:trPr>
        <w:tc>
          <w:tcPr>
            <w:tcW w:type="dxa" w:w="1656"/>
            <w:vAlign w:val="center"/>
            <w:shd w:fill="FFFFFF"/>
          </w:tcPr>
          <w:p>
            <w:pPr>
              <w:pStyle w:val="TableText"/>
              <w:keepNext w:val="0"/>
              <w:keepLines/>
              <w:spacing w:after="0"/>
            </w:pPr>
            <w:r>
              <w:t>0 oraz 0.1</w:t>
            </w:r>
          </w:p>
        </w:tc>
        <w:tc>
          <w:tcPr>
            <w:tcW w:type="dxa" w:w="4392"/>
            <w:vAlign w:val="center"/>
            <w:shd w:fill="FFFFFF"/>
          </w:tcPr>
          <w:p>
            <w:pPr>
              <w:pStyle w:val="TableText"/>
              <w:keepNext w:val="0"/>
              <w:keepLines/>
              <w:spacing w:after="0"/>
            </w:pPr>
            <w:r>
              <w:t>Metryka, baseline i deklaracja zamknięcia luk</w:t>
            </w:r>
          </w:p>
        </w:tc>
        <w:tc>
          <w:tcPr>
            <w:tcW w:type="dxa" w:w="4176"/>
            <w:vAlign w:val="center"/>
            <w:shd w:fill="FFFFFF"/>
          </w:tcPr>
          <w:p>
            <w:pPr>
              <w:pStyle w:val="TableText"/>
              <w:keepNext w:val="0"/>
              <w:keepLines/>
              <w:spacing w:after="0"/>
            </w:pPr>
            <w:r>
              <w:t>A41–A42; rozdz. 2 i 13</w:t>
            </w:r>
          </w:p>
        </w:tc>
      </w:tr>
      <w:tr>
        <w:trPr>
          <w:cantSplit/>
        </w:trPr>
        <w:tc>
          <w:tcPr>
            <w:tcW w:type="dxa" w:w="1656"/>
            <w:vAlign w:val="center"/>
            <w:shd w:fill="F4F4F4"/>
          </w:tcPr>
          <w:p>
            <w:pPr>
              <w:pStyle w:val="TableText"/>
              <w:keepNext w:val="0"/>
              <w:keepLines/>
              <w:spacing w:after="0"/>
            </w:pPr>
            <w:r>
              <w:t>1</w:t>
            </w:r>
          </w:p>
        </w:tc>
        <w:tc>
          <w:tcPr>
            <w:tcW w:type="dxa" w:w="4392"/>
            <w:vAlign w:val="center"/>
            <w:shd w:fill="F4F4F4"/>
          </w:tcPr>
          <w:p>
            <w:pPr>
              <w:pStyle w:val="TableText"/>
              <w:keepNext w:val="0"/>
              <w:keepLines/>
              <w:spacing w:after="0"/>
            </w:pPr>
            <w:r>
              <w:t>Wszystkie pytania audytowe i oczekiwania</w:t>
            </w:r>
          </w:p>
        </w:tc>
        <w:tc>
          <w:tcPr>
            <w:tcW w:type="dxa" w:w="4176"/>
            <w:vAlign w:val="center"/>
            <w:shd w:fill="F4F4F4"/>
          </w:tcPr>
          <w:p>
            <w:pPr>
              <w:pStyle w:val="TableText"/>
              <w:keepNext w:val="0"/>
              <w:keepLines/>
              <w:spacing w:after="0"/>
            </w:pPr>
            <w:r>
              <w:t>Rozdz. 8 oraz cały rejestr</w:t>
            </w:r>
          </w:p>
        </w:tc>
      </w:tr>
      <w:tr>
        <w:trPr>
          <w:cantSplit/>
        </w:trPr>
        <w:tc>
          <w:tcPr>
            <w:tcW w:type="dxa" w:w="1656"/>
            <w:vAlign w:val="center"/>
            <w:shd w:fill="FFFFFF"/>
          </w:tcPr>
          <w:p>
            <w:pPr>
              <w:pStyle w:val="TableText"/>
              <w:keepNext w:val="0"/>
              <w:keepLines/>
              <w:spacing w:after="0"/>
            </w:pPr>
            <w:r>
              <w:t>2 oraz 2.1–2.3</w:t>
            </w:r>
          </w:p>
        </w:tc>
        <w:tc>
          <w:tcPr>
            <w:tcW w:type="dxa" w:w="4392"/>
            <w:vAlign w:val="center"/>
            <w:shd w:fill="FFFFFF"/>
          </w:tcPr>
          <w:p>
            <w:pPr>
              <w:pStyle w:val="TableText"/>
              <w:keepNext w:val="0"/>
              <w:keepLines/>
              <w:spacing w:after="0"/>
            </w:pPr>
            <w:r>
              <w:t>MVP, rezerwy, wyłączenia, urządzenia i użytkowanie</w:t>
            </w:r>
          </w:p>
        </w:tc>
        <w:tc>
          <w:tcPr>
            <w:tcW w:type="dxa" w:w="4176"/>
            <w:vAlign w:val="center"/>
            <w:shd w:fill="FFFFFF"/>
          </w:tcPr>
          <w:p>
            <w:pPr>
              <w:pStyle w:val="TableText"/>
              <w:keepNext w:val="0"/>
              <w:keepLines/>
              <w:spacing w:after="0"/>
            </w:pPr>
            <w:r>
              <w:t>A21, A28, A34, A36, A39, A43, A49; rozdz. 7–8</w:t>
            </w:r>
          </w:p>
        </w:tc>
      </w:tr>
      <w:tr>
        <w:trPr>
          <w:cantSplit/>
        </w:trPr>
        <w:tc>
          <w:tcPr>
            <w:tcW w:type="dxa" w:w="1656"/>
            <w:vAlign w:val="center"/>
            <w:shd w:fill="F4F4F4"/>
          </w:tcPr>
          <w:p>
            <w:pPr>
              <w:pStyle w:val="TableText"/>
              <w:keepNext w:val="0"/>
              <w:keepLines/>
              <w:spacing w:after="0"/>
            </w:pPr>
            <w:r>
              <w:t>3</w:t>
            </w:r>
          </w:p>
        </w:tc>
        <w:tc>
          <w:tcPr>
            <w:tcW w:type="dxa" w:w="4392"/>
            <w:vAlign w:val="center"/>
            <w:shd w:fill="F4F4F4"/>
          </w:tcPr>
          <w:p>
            <w:pPr>
              <w:pStyle w:val="TableText"/>
              <w:keepNext w:val="0"/>
              <w:keepLines/>
              <w:spacing w:after="0"/>
            </w:pPr>
            <w:r>
              <w:t>Jedna osoba i modele, niezależny przegląd</w:t>
            </w:r>
          </w:p>
        </w:tc>
        <w:tc>
          <w:tcPr>
            <w:tcW w:type="dxa" w:w="4176"/>
            <w:vAlign w:val="center"/>
            <w:shd w:fill="F4F4F4"/>
          </w:tcPr>
          <w:p>
            <w:pPr>
              <w:pStyle w:val="TableText"/>
              <w:keepNext w:val="0"/>
              <w:keepLines/>
              <w:spacing w:after="0"/>
            </w:pPr>
            <w:r>
              <w:t>A45–A46; rozdz. 8</w:t>
            </w:r>
          </w:p>
        </w:tc>
      </w:tr>
      <w:tr>
        <w:trPr>
          <w:cantSplit/>
        </w:trPr>
        <w:tc>
          <w:tcPr>
            <w:tcW w:type="dxa" w:w="1656"/>
            <w:vAlign w:val="center"/>
            <w:shd w:fill="FFFFFF"/>
          </w:tcPr>
          <w:p>
            <w:pPr>
              <w:pStyle w:val="TableText"/>
              <w:keepNext w:val="0"/>
              <w:keepLines/>
              <w:spacing w:after="0"/>
            </w:pPr>
            <w:r>
              <w:t>4 oraz 4.1–4.3</w:t>
            </w:r>
          </w:p>
        </w:tc>
        <w:tc>
          <w:tcPr>
            <w:tcW w:type="dxa" w:w="4392"/>
            <w:vAlign w:val="center"/>
            <w:shd w:fill="FFFFFF"/>
          </w:tcPr>
          <w:p>
            <w:pPr>
              <w:pStyle w:val="TableText"/>
              <w:keepNext w:val="0"/>
              <w:keepLines/>
              <w:spacing w:after="0"/>
            </w:pPr>
            <w:r>
              <w:t>Fazy, bramki, zasady i terminy dowodów</w:t>
            </w:r>
          </w:p>
        </w:tc>
        <w:tc>
          <w:tcPr>
            <w:tcW w:type="dxa" w:w="4176"/>
            <w:vAlign w:val="center"/>
            <w:shd w:fill="FFFFFF"/>
          </w:tcPr>
          <w:p>
            <w:pPr>
              <w:pStyle w:val="TableText"/>
              <w:keepNext w:val="0"/>
              <w:keepLines/>
              <w:spacing w:after="0"/>
            </w:pPr>
            <w:r>
              <w:t>A33, A38, A41–A48; rozdz. 10</w:t>
            </w:r>
          </w:p>
        </w:tc>
      </w:tr>
      <w:tr>
        <w:trPr>
          <w:cantSplit/>
        </w:trPr>
        <w:tc>
          <w:tcPr>
            <w:tcW w:type="dxa" w:w="1656"/>
            <w:vAlign w:val="center"/>
            <w:shd w:fill="F4F4F4"/>
          </w:tcPr>
          <w:p>
            <w:pPr>
              <w:pStyle w:val="TableText"/>
              <w:keepNext w:val="0"/>
              <w:keepLines/>
              <w:spacing w:after="0"/>
            </w:pPr>
            <w:r>
              <w:t>5 oraz 5.1–5.2</w:t>
            </w:r>
          </w:p>
        </w:tc>
        <w:tc>
          <w:tcPr>
            <w:tcW w:type="dxa" w:w="4392"/>
            <w:vAlign w:val="center"/>
            <w:shd w:fill="F4F4F4"/>
          </w:tcPr>
          <w:p>
            <w:pPr>
              <w:pStyle w:val="TableText"/>
              <w:keepNext w:val="0"/>
              <w:keepLines/>
              <w:spacing w:after="0"/>
            </w:pPr>
            <w:r>
              <w:t>Statusy i wszystkie przedstawione liczniki</w:t>
            </w:r>
          </w:p>
        </w:tc>
        <w:tc>
          <w:tcPr>
            <w:tcW w:type="dxa" w:w="4176"/>
            <w:vAlign w:val="center"/>
            <w:shd w:fill="F4F4F4"/>
          </w:tcPr>
          <w:p>
            <w:pPr>
              <w:pStyle w:val="TableText"/>
              <w:keepNext w:val="0"/>
              <w:keepLines/>
              <w:spacing w:after="0"/>
            </w:pPr>
            <w:r>
              <w:t>A41–A44, A50; rozdz. 1–2</w:t>
            </w:r>
          </w:p>
        </w:tc>
      </w:tr>
      <w:tr>
        <w:trPr>
          <w:cantSplit/>
        </w:trPr>
        <w:tc>
          <w:tcPr>
            <w:tcW w:type="dxa" w:w="1656"/>
            <w:vAlign w:val="center"/>
            <w:shd w:fill="FFFFFF"/>
          </w:tcPr>
          <w:p>
            <w:pPr>
              <w:pStyle w:val="TableText"/>
              <w:keepNext w:val="0"/>
              <w:keepLines/>
              <w:spacing w:after="0"/>
            </w:pPr>
            <w:r>
              <w:t>6.1</w:t>
            </w:r>
          </w:p>
        </w:tc>
        <w:tc>
          <w:tcPr>
            <w:tcW w:type="dxa" w:w="4392"/>
            <w:vAlign w:val="center"/>
            <w:shd w:fill="FFFFFF"/>
          </w:tcPr>
          <w:p>
            <w:pPr>
              <w:pStyle w:val="TableText"/>
              <w:keepNext w:val="0"/>
              <w:keepLines/>
              <w:spacing w:after="0"/>
            </w:pPr>
            <w:r>
              <w:t>Wszystkie pozycje listy sprzętu</w:t>
            </w:r>
          </w:p>
        </w:tc>
        <w:tc>
          <w:tcPr>
            <w:tcW w:type="dxa" w:w="4176"/>
            <w:vAlign w:val="center"/>
            <w:shd w:fill="FFFFFF"/>
          </w:tcPr>
          <w:p>
            <w:pPr>
              <w:pStyle w:val="TableText"/>
              <w:keepNext w:val="0"/>
              <w:keepLines/>
              <w:spacing w:after="0"/>
            </w:pPr>
            <w:r>
              <w:t>A01–A06, A14, A25–A38</w:t>
            </w:r>
          </w:p>
        </w:tc>
      </w:tr>
      <w:tr>
        <w:trPr>
          <w:cantSplit/>
        </w:trPr>
        <w:tc>
          <w:tcPr>
            <w:tcW w:type="dxa" w:w="1656"/>
            <w:vAlign w:val="center"/>
            <w:shd w:fill="F4F4F4"/>
          </w:tcPr>
          <w:p>
            <w:pPr>
              <w:pStyle w:val="TableText"/>
              <w:keepNext w:val="0"/>
              <w:keepLines/>
              <w:spacing w:after="0"/>
            </w:pPr>
            <w:r>
              <w:t>6.2</w:t>
            </w:r>
          </w:p>
        </w:tc>
        <w:tc>
          <w:tcPr>
            <w:tcW w:type="dxa" w:w="4392"/>
            <w:vAlign w:val="center"/>
            <w:shd w:fill="F4F4F4"/>
          </w:tcPr>
          <w:p>
            <w:pPr>
              <w:pStyle w:val="TableText"/>
              <w:keepNext w:val="0"/>
              <w:keepLines/>
              <w:spacing w:after="0"/>
            </w:pPr>
            <w:r>
              <w:t>Odcięcie, watchdog, dwell, K4 i prawo zatrzymania</w:t>
            </w:r>
          </w:p>
        </w:tc>
        <w:tc>
          <w:tcPr>
            <w:tcW w:type="dxa" w:w="4176"/>
            <w:vAlign w:val="center"/>
            <w:shd w:fill="F4F4F4"/>
          </w:tcPr>
          <w:p>
            <w:pPr>
              <w:pStyle w:val="TableText"/>
              <w:keepNext w:val="0"/>
              <w:keepLines/>
              <w:spacing w:after="0"/>
            </w:pPr>
            <w:r>
              <w:t>A02–A05, A14–A17, A23</w:t>
            </w:r>
          </w:p>
        </w:tc>
      </w:tr>
      <w:tr>
        <w:trPr>
          <w:cantSplit/>
        </w:trPr>
        <w:tc>
          <w:tcPr>
            <w:tcW w:type="dxa" w:w="1656"/>
            <w:vAlign w:val="center"/>
            <w:shd w:fill="FFFFFF"/>
          </w:tcPr>
          <w:p>
            <w:pPr>
              <w:pStyle w:val="TableText"/>
              <w:keepNext w:val="0"/>
              <w:keepLines/>
              <w:spacing w:after="0"/>
            </w:pPr>
            <w:r>
              <w:t>6.3</w:t>
            </w:r>
          </w:p>
        </w:tc>
        <w:tc>
          <w:tcPr>
            <w:tcW w:type="dxa" w:w="4392"/>
            <w:vAlign w:val="center"/>
            <w:shd w:fill="FFFFFF"/>
          </w:tcPr>
          <w:p>
            <w:pPr>
              <w:pStyle w:val="TableText"/>
              <w:keepNext w:val="0"/>
              <w:keepLines/>
              <w:spacing w:after="0"/>
            </w:pPr>
            <w:r>
              <w:t>Pomiar triggera, predykcja, limity i okna</w:t>
            </w:r>
          </w:p>
        </w:tc>
        <w:tc>
          <w:tcPr>
            <w:tcW w:type="dxa" w:w="4176"/>
            <w:vAlign w:val="center"/>
            <w:shd w:fill="FFFFFF"/>
          </w:tcPr>
          <w:p>
            <w:pPr>
              <w:pStyle w:val="TableText"/>
              <w:keepNext w:val="0"/>
              <w:keepLines/>
              <w:spacing w:after="0"/>
            </w:pPr>
            <w:r>
              <w:t>A06–A13; rozdz. 8–9</w:t>
            </w:r>
          </w:p>
        </w:tc>
      </w:tr>
      <w:tr>
        <w:trPr>
          <w:cantSplit/>
        </w:trPr>
        <w:tc>
          <w:tcPr>
            <w:tcW w:type="dxa" w:w="1656"/>
            <w:vAlign w:val="center"/>
            <w:shd w:fill="F4F4F4"/>
          </w:tcPr>
          <w:p>
            <w:pPr>
              <w:pStyle w:val="TableText"/>
              <w:keepNext w:val="0"/>
              <w:keepLines/>
              <w:spacing w:after="0"/>
            </w:pPr>
            <w:r>
              <w:t>6.4</w:t>
            </w:r>
          </w:p>
        </w:tc>
        <w:tc>
          <w:tcPr>
            <w:tcW w:type="dxa" w:w="4392"/>
            <w:vAlign w:val="center"/>
            <w:shd w:fill="F4F4F4"/>
          </w:tcPr>
          <w:p>
            <w:pPr>
              <w:pStyle w:val="TableText"/>
              <w:keepNext w:val="0"/>
              <w:keepLines/>
              <w:spacing w:after="0"/>
            </w:pPr>
            <w:r>
              <w:t>Każda grupa zastępowania informacji</w:t>
            </w:r>
          </w:p>
        </w:tc>
        <w:tc>
          <w:tcPr>
            <w:tcW w:type="dxa" w:w="4176"/>
            <w:vAlign w:val="center"/>
            <w:shd w:fill="F4F4F4"/>
          </w:tcPr>
          <w:p>
            <w:pPr>
              <w:pStyle w:val="TableText"/>
              <w:keepNext w:val="0"/>
              <w:keepLines/>
              <w:spacing w:after="0"/>
            </w:pPr>
            <w:r>
              <w:t>A18–A20, A37; rozdz. 8</w:t>
            </w:r>
          </w:p>
        </w:tc>
      </w:tr>
      <w:tr>
        <w:trPr>
          <w:cantSplit/>
        </w:trPr>
        <w:tc>
          <w:tcPr>
            <w:tcW w:type="dxa" w:w="1656"/>
            <w:vAlign w:val="center"/>
            <w:shd w:fill="FFFFFF"/>
          </w:tcPr>
          <w:p>
            <w:pPr>
              <w:pStyle w:val="TableText"/>
              <w:keepNext w:val="0"/>
              <w:keepLines/>
              <w:spacing w:after="0"/>
            </w:pPr>
            <w:r>
              <w:t>6.5</w:t>
            </w:r>
          </w:p>
        </w:tc>
        <w:tc>
          <w:tcPr>
            <w:tcW w:type="dxa" w:w="4392"/>
            <w:vAlign w:val="center"/>
            <w:shd w:fill="FFFFFF"/>
          </w:tcPr>
          <w:p>
            <w:pPr>
              <w:pStyle w:val="TableText"/>
              <w:keepNext w:val="0"/>
              <w:keepLines/>
              <w:spacing w:after="0"/>
            </w:pPr>
            <w:r>
              <w:t>Każdy jawny składnik snu i odrzucone budzenie</w:t>
            </w:r>
          </w:p>
        </w:tc>
        <w:tc>
          <w:tcPr>
            <w:tcW w:type="dxa" w:w="4176"/>
            <w:vAlign w:val="center"/>
            <w:shd w:fill="FFFFFF"/>
          </w:tcPr>
          <w:p>
            <w:pPr>
              <w:pStyle w:val="TableText"/>
              <w:keepNext w:val="0"/>
              <w:keepLines/>
              <w:spacing w:after="0"/>
            </w:pPr>
            <w:r>
              <w:t>A26–A28, A50; rozdz. 9</w:t>
            </w:r>
          </w:p>
        </w:tc>
      </w:tr>
      <w:tr>
        <w:trPr>
          <w:cantSplit/>
        </w:trPr>
        <w:tc>
          <w:tcPr>
            <w:tcW w:type="dxa" w:w="1656"/>
            <w:vAlign w:val="center"/>
            <w:shd w:fill="F4F4F4"/>
          </w:tcPr>
          <w:p>
            <w:pPr>
              <w:pStyle w:val="TableText"/>
              <w:keepNext w:val="0"/>
              <w:keepLines/>
              <w:spacing w:after="0"/>
            </w:pPr>
            <w:r>
              <w:t>7 oraz 7.1–7.3</w:t>
            </w:r>
          </w:p>
        </w:tc>
        <w:tc>
          <w:tcPr>
            <w:tcW w:type="dxa" w:w="4392"/>
            <w:vAlign w:val="center"/>
            <w:shd w:fill="F4F4F4"/>
          </w:tcPr>
          <w:p>
            <w:pPr>
              <w:pStyle w:val="TableText"/>
              <w:keepNext w:val="0"/>
              <w:keepLines/>
              <w:spacing w:after="0"/>
            </w:pPr>
            <w:r>
              <w:t>Bilans poprzedniego audytu i przytoczone naprawy</w:t>
            </w:r>
          </w:p>
        </w:tc>
        <w:tc>
          <w:tcPr>
            <w:tcW w:type="dxa" w:w="4176"/>
            <w:vAlign w:val="center"/>
            <w:shd w:fill="F4F4F4"/>
          </w:tcPr>
          <w:p>
            <w:pPr>
              <w:pStyle w:val="TableText"/>
              <w:keepNext w:val="0"/>
              <w:keepLines/>
              <w:spacing w:after="0"/>
            </w:pPr>
            <w:r>
              <w:t>Poniższa ocena statusów; A06–A15, A33, A37, A41–A44</w:t>
            </w:r>
          </w:p>
        </w:tc>
      </w:tr>
      <w:tr>
        <w:trPr>
          <w:cantSplit/>
        </w:trPr>
        <w:tc>
          <w:tcPr>
            <w:tcW w:type="dxa" w:w="1656"/>
            <w:vAlign w:val="center"/>
            <w:shd w:fill="FFFFFF"/>
          </w:tcPr>
          <w:p>
            <w:pPr>
              <w:pStyle w:val="TableText"/>
              <w:keepNext w:val="0"/>
              <w:keepLines/>
              <w:spacing w:after="0"/>
            </w:pPr>
            <w:r>
              <w:t>8.1</w:t>
            </w:r>
          </w:p>
        </w:tc>
        <w:tc>
          <w:tcPr>
            <w:tcW w:type="dxa" w:w="4392"/>
            <w:vAlign w:val="center"/>
            <w:shd w:fill="FFFFFF"/>
          </w:tcPr>
          <w:p>
            <w:pPr>
              <w:pStyle w:val="TableText"/>
              <w:keepNext w:val="0"/>
              <w:keepLines/>
              <w:spacing w:after="0"/>
            </w:pPr>
            <w:r>
              <w:t>Wszystkie grupy wymagań z wartościami otwartymi</w:t>
            </w:r>
          </w:p>
        </w:tc>
        <w:tc>
          <w:tcPr>
            <w:tcW w:type="dxa" w:w="4176"/>
            <w:vAlign w:val="center"/>
            <w:shd w:fill="FFFFFF"/>
          </w:tcPr>
          <w:p>
            <w:pPr>
              <w:pStyle w:val="TableText"/>
              <w:keepNext w:val="0"/>
              <w:keepLines/>
              <w:spacing w:after="0"/>
            </w:pPr>
            <w:r>
              <w:t>A13, A16, A21, A24, A29, A39–A40, A43, A49–A50</w:t>
            </w:r>
          </w:p>
        </w:tc>
      </w:tr>
      <w:tr>
        <w:trPr>
          <w:cantSplit/>
        </w:trPr>
        <w:tc>
          <w:tcPr>
            <w:tcW w:type="dxa" w:w="1656"/>
            <w:vAlign w:val="center"/>
            <w:shd w:fill="F4F4F4"/>
          </w:tcPr>
          <w:p>
            <w:pPr>
              <w:pStyle w:val="TableText"/>
              <w:keepNext w:val="0"/>
              <w:keepLines/>
              <w:spacing w:after="0"/>
            </w:pPr>
            <w:r>
              <w:t>8.2</w:t>
            </w:r>
          </w:p>
        </w:tc>
        <w:tc>
          <w:tcPr>
            <w:tcW w:type="dxa" w:w="4392"/>
            <w:vAlign w:val="center"/>
            <w:shd w:fill="F4F4F4"/>
          </w:tcPr>
          <w:p>
            <w:pPr>
              <w:pStyle w:val="TableText"/>
              <w:keepNext w:val="0"/>
              <w:keepLines/>
              <w:spacing w:after="0"/>
            </w:pPr>
            <w:r>
              <w:t>Wszystkie funkcje bez wymagań</w:t>
            </w:r>
          </w:p>
        </w:tc>
        <w:tc>
          <w:tcPr>
            <w:tcW w:type="dxa" w:w="4176"/>
            <w:vAlign w:val="center"/>
            <w:shd w:fill="F4F4F4"/>
          </w:tcPr>
          <w:p>
            <w:pPr>
              <w:pStyle w:val="TableText"/>
              <w:keepNext w:val="0"/>
              <w:keepLines/>
              <w:spacing w:after="0"/>
            </w:pPr>
            <w:r>
              <w:t>A23–A24, A40, A44; rozdz. 10</w:t>
            </w:r>
          </w:p>
        </w:tc>
      </w:tr>
      <w:tr>
        <w:trPr>
          <w:cantSplit/>
        </w:trPr>
        <w:tc>
          <w:tcPr>
            <w:tcW w:type="dxa" w:w="1656"/>
            <w:vAlign w:val="center"/>
            <w:shd w:fill="FFFFFF"/>
          </w:tcPr>
          <w:p>
            <w:pPr>
              <w:pStyle w:val="TableText"/>
              <w:keepNext w:val="0"/>
              <w:keepLines/>
              <w:spacing w:after="0"/>
            </w:pPr>
            <w:r>
              <w:t>8.3</w:t>
            </w:r>
          </w:p>
        </w:tc>
        <w:tc>
          <w:tcPr>
            <w:tcW w:type="dxa" w:w="4392"/>
            <w:vAlign w:val="center"/>
            <w:shd w:fill="FFFFFF"/>
          </w:tcPr>
          <w:p>
            <w:pPr>
              <w:pStyle w:val="TableText"/>
              <w:keepNext w:val="0"/>
              <w:keepLines/>
              <w:spacing w:after="0"/>
            </w:pPr>
            <w:r>
              <w:t>R1, R2, R9, R12, R15, R16 i R18</w:t>
            </w:r>
          </w:p>
        </w:tc>
        <w:tc>
          <w:tcPr>
            <w:tcW w:type="dxa" w:w="4176"/>
            <w:vAlign w:val="center"/>
            <w:shd w:fill="FFFFFF"/>
          </w:tcPr>
          <w:p>
            <w:pPr>
              <w:pStyle w:val="TableText"/>
              <w:keepNext w:val="0"/>
              <w:keepLines/>
              <w:spacing w:after="0"/>
            </w:pPr>
            <w:r>
              <w:t>A16, A21, A23, A26–A29, A38, A47</w:t>
            </w:r>
          </w:p>
        </w:tc>
      </w:tr>
      <w:tr>
        <w:trPr>
          <w:cantSplit/>
        </w:trPr>
        <w:tc>
          <w:tcPr>
            <w:tcW w:type="dxa" w:w="1656"/>
            <w:vAlign w:val="center"/>
            <w:shd w:fill="F4F4F4"/>
          </w:tcPr>
          <w:p>
            <w:pPr>
              <w:pStyle w:val="TableText"/>
              <w:keepNext w:val="0"/>
              <w:keepLines/>
              <w:spacing w:after="0"/>
            </w:pPr>
            <w:r>
              <w:t>9.0 oraz 9.1</w:t>
            </w:r>
          </w:p>
        </w:tc>
        <w:tc>
          <w:tcPr>
            <w:tcW w:type="dxa" w:w="4392"/>
            <w:vAlign w:val="center"/>
            <w:shd w:fill="F4F4F4"/>
          </w:tcPr>
          <w:p>
            <w:pPr>
              <w:pStyle w:val="TableText"/>
              <w:keepNext w:val="0"/>
              <w:keepLines/>
              <w:spacing w:after="0"/>
            </w:pPr>
            <w:r>
              <w:t>L34–L40 i realne wdrożenie zmian</w:t>
            </w:r>
          </w:p>
        </w:tc>
        <w:tc>
          <w:tcPr>
            <w:tcW w:type="dxa" w:w="4176"/>
            <w:vAlign w:val="center"/>
            <w:shd w:fill="F4F4F4"/>
          </w:tcPr>
          <w:p>
            <w:pPr>
              <w:pStyle w:val="TableText"/>
              <w:keepNext w:val="0"/>
              <w:keepLines/>
              <w:spacing w:after="0"/>
            </w:pPr>
            <w:r>
              <w:t>A18, A21, A40–A48; rozdz. 8</w:t>
            </w:r>
          </w:p>
        </w:tc>
      </w:tr>
      <w:tr>
        <w:trPr>
          <w:cantSplit/>
        </w:trPr>
        <w:tc>
          <w:tcPr>
            <w:tcW w:type="dxa" w:w="1656"/>
            <w:vAlign w:val="center"/>
            <w:shd w:fill="FFFFFF"/>
          </w:tcPr>
          <w:p>
            <w:pPr>
              <w:pStyle w:val="TableText"/>
              <w:keepNext w:val="0"/>
              <w:keepLines/>
              <w:spacing w:after="0"/>
            </w:pPr>
            <w:r>
              <w:t>9.0.1</w:t>
            </w:r>
          </w:p>
        </w:tc>
        <w:tc>
          <w:tcPr>
            <w:tcW w:type="dxa" w:w="4392"/>
            <w:vAlign w:val="center"/>
            <w:shd w:fill="FFFFFF"/>
          </w:tcPr>
          <w:p>
            <w:pPr>
              <w:pStyle w:val="TableText"/>
              <w:keepNext w:val="0"/>
              <w:keepLines/>
              <w:spacing w:after="0"/>
            </w:pPr>
            <w:r>
              <w:t>Wszystkie siedem zmian po TPS oraz interlock</w:t>
            </w:r>
          </w:p>
        </w:tc>
        <w:tc>
          <w:tcPr>
            <w:tcW w:type="dxa" w:w="4176"/>
            <w:vAlign w:val="center"/>
            <w:shd w:fill="FFFFFF"/>
          </w:tcPr>
          <w:p>
            <w:pPr>
              <w:pStyle w:val="TableText"/>
              <w:keepNext w:val="0"/>
              <w:keepLines/>
              <w:spacing w:after="0"/>
            </w:pPr>
            <w:r>
              <w:t>A18, A21–A22, A40, A43–A44; rozdz. 8</w:t>
            </w:r>
          </w:p>
        </w:tc>
      </w:tr>
      <w:tr>
        <w:trPr>
          <w:cantSplit/>
        </w:trPr>
        <w:tc>
          <w:tcPr>
            <w:tcW w:type="dxa" w:w="1656"/>
            <w:vAlign w:val="center"/>
            <w:shd w:fill="F4F4F4"/>
          </w:tcPr>
          <w:p>
            <w:pPr>
              <w:pStyle w:val="TableText"/>
              <w:keepNext w:val="0"/>
              <w:keepLines/>
              <w:spacing w:after="0"/>
            </w:pPr>
            <w:r>
              <w:t>9.2</w:t>
            </w:r>
          </w:p>
        </w:tc>
        <w:tc>
          <w:tcPr>
            <w:tcW w:type="dxa" w:w="4392"/>
            <w:vAlign w:val="center"/>
            <w:shd w:fill="F4F4F4"/>
          </w:tcPr>
          <w:p>
            <w:pPr>
              <w:pStyle w:val="TableText"/>
              <w:keepNext w:val="0"/>
              <w:keepLines/>
              <w:spacing w:after="0"/>
            </w:pPr>
            <w:r>
              <w:t>Wszystkie osiem decyzji budzących wątpliwości</w:t>
            </w:r>
          </w:p>
        </w:tc>
        <w:tc>
          <w:tcPr>
            <w:tcW w:type="dxa" w:w="4176"/>
            <w:vAlign w:val="center"/>
            <w:shd w:fill="F4F4F4"/>
          </w:tcPr>
          <w:p>
            <w:pPr>
              <w:pStyle w:val="TableText"/>
              <w:keepNext w:val="0"/>
              <w:keepLines/>
              <w:spacing w:after="0"/>
            </w:pPr>
            <w:r>
              <w:t>Rozdz. 8; A01, A06–A12, A17, A20–A21, A34</w:t>
            </w:r>
          </w:p>
        </w:tc>
      </w:tr>
      <w:tr>
        <w:trPr>
          <w:cantSplit/>
        </w:trPr>
        <w:tc>
          <w:tcPr>
            <w:tcW w:type="dxa" w:w="1656"/>
            <w:vAlign w:val="center"/>
            <w:shd w:fill="FFFFFF"/>
          </w:tcPr>
          <w:p>
            <w:pPr>
              <w:pStyle w:val="TableText"/>
              <w:keepNext w:val="0"/>
              <w:keepLines/>
              <w:spacing w:after="0"/>
            </w:pPr>
            <w:r>
              <w:t>9.3</w:t>
            </w:r>
          </w:p>
        </w:tc>
        <w:tc>
          <w:tcPr>
            <w:tcW w:type="dxa" w:w="4392"/>
            <w:vAlign w:val="center"/>
            <w:shd w:fill="FFFFFF"/>
          </w:tcPr>
          <w:p>
            <w:pPr>
              <w:pStyle w:val="TableText"/>
              <w:keepNext w:val="0"/>
              <w:keepLines/>
              <w:spacing w:after="0"/>
            </w:pPr>
            <w:r>
              <w:t>Trzy udokumentowane wzorce błędów</w:t>
            </w:r>
          </w:p>
        </w:tc>
        <w:tc>
          <w:tcPr>
            <w:tcW w:type="dxa" w:w="4176"/>
            <w:vAlign w:val="center"/>
            <w:shd w:fill="FFFFFF"/>
          </w:tcPr>
          <w:p>
            <w:pPr>
              <w:pStyle w:val="TableText"/>
              <w:keepNext w:val="0"/>
              <w:keepLines/>
              <w:spacing w:after="0"/>
            </w:pPr>
            <w:r>
              <w:t>A31–A33, A45–A46; rozdz. 8</w:t>
            </w:r>
          </w:p>
        </w:tc>
      </w:tr>
      <w:tr>
        <w:trPr>
          <w:cantSplit/>
        </w:trPr>
        <w:tc>
          <w:tcPr>
            <w:tcW w:type="dxa" w:w="1656"/>
            <w:vAlign w:val="center"/>
            <w:shd w:fill="F4F4F4"/>
          </w:tcPr>
          <w:p>
            <w:pPr>
              <w:pStyle w:val="TableText"/>
              <w:keepNext w:val="0"/>
              <w:keepLines/>
              <w:spacing w:after="0"/>
            </w:pPr>
            <w:r>
              <w:t>10</w:t>
            </w:r>
          </w:p>
        </w:tc>
        <w:tc>
          <w:tcPr>
            <w:tcW w:type="dxa" w:w="4392"/>
            <w:vAlign w:val="center"/>
            <w:shd w:fill="F4F4F4"/>
          </w:tcPr>
          <w:p>
            <w:pPr>
              <w:pStyle w:val="TableText"/>
              <w:keepNext w:val="0"/>
              <w:keepLines/>
              <w:spacing w:after="0"/>
            </w:pPr>
            <w:r>
              <w:t>Każdy krok dalszych prac i zależności</w:t>
            </w:r>
          </w:p>
        </w:tc>
        <w:tc>
          <w:tcPr>
            <w:tcW w:type="dxa" w:w="4176"/>
            <w:vAlign w:val="center"/>
            <w:shd w:fill="F4F4F4"/>
          </w:tcPr>
          <w:p>
            <w:pPr>
              <w:pStyle w:val="TableText"/>
              <w:keepNext w:val="0"/>
              <w:keepLines/>
              <w:spacing w:after="0"/>
            </w:pPr>
            <w:r>
              <w:t>A43, A48; rozdz. 10</w:t>
            </w:r>
          </w:p>
        </w:tc>
      </w:tr>
      <w:tr>
        <w:trPr>
          <w:cantSplit/>
        </w:trPr>
        <w:tc>
          <w:tcPr>
            <w:tcW w:type="dxa" w:w="1656"/>
            <w:vAlign w:val="center"/>
            <w:shd w:fill="FFFFFF"/>
          </w:tcPr>
          <w:p>
            <w:pPr>
              <w:pStyle w:val="TableText"/>
              <w:keepNext w:val="0"/>
              <w:keepLines/>
              <w:spacing w:after="0"/>
            </w:pPr>
            <w:r>
              <w:t>11</w:t>
            </w:r>
          </w:p>
        </w:tc>
        <w:tc>
          <w:tcPr>
            <w:tcW w:type="dxa" w:w="4392"/>
            <w:vAlign w:val="center"/>
            <w:shd w:fill="FFFFFF"/>
          </w:tcPr>
          <w:p>
            <w:pPr>
              <w:pStyle w:val="TableText"/>
              <w:keepNext w:val="0"/>
              <w:keepLines/>
              <w:spacing w:after="0"/>
            </w:pPr>
            <w:r>
              <w:t>Wersje, dostępność źródeł i deklaracja spójności</w:t>
            </w:r>
          </w:p>
        </w:tc>
        <w:tc>
          <w:tcPr>
            <w:tcW w:type="dxa" w:w="4176"/>
            <w:vAlign w:val="center"/>
            <w:shd w:fill="FFFFFF"/>
          </w:tcPr>
          <w:p>
            <w:pPr>
              <w:pStyle w:val="TableText"/>
              <w:keepNext w:val="0"/>
              <w:keepLines/>
              <w:spacing w:after="0"/>
            </w:pPr>
            <w:r>
              <w:t>Rozdz. 2 i 13; A41–A44</w:t>
            </w:r>
          </w:p>
        </w:tc>
      </w:tr>
    </w:tbl>
    <w:p>
      <w:pPr>
        <w:keepNext w:val="0"/>
        <w:keepLines/>
        <w:spacing w:after="40"/>
      </w:pPr>
      <w:r/>
    </w:p>
    <w:p>
      <w:pPr>
        <w:keepNext w:val="0"/>
        <w:keepLines/>
      </w:pPr>
      <w:r>
        <w:t>Pełnej macierzy 51 DTC i treści A1–A12 nie przedstawiono, dlatego nie przypisuję im pozornej oceny każdego wiersza. Wymagania wentylatora, przebiegu, korekty wysokości, map z HMI, świateł, RTC i konfiguratora wyglądu są jawnie niedojrzałe. Dla każdego trzeba zatwierdzić zakres, zachowanie po błędzie i kryterium odbioru lub jawnie wyłączyć funkcję z MVP. Szczególnie korekta wysokości w ECU gaźnikowym nie może być opisana jak automatyczna korekta dawki wtrysku.</w:t>
      </w:r>
    </w:p>
    <w:p>
      <w:pPr>
        <w:pStyle w:val="Heading2"/>
      </w:pPr>
      <w:r>
        <w:t>Ocena przytoczonych napraw pierwszego audytu</w:t>
      </w:r>
    </w:p>
    <w:tbl>
      <w:tblPr>
        <w:jc w:val="center"/>
        <w:tblLayout w:type="fixed"/>
        <w:tblLook w:firstColumn="1" w:firstRow="1" w:lastColumn="0" w:lastRow="0" w:noHBand="0" w:noVBand="1" w:val="04A0"/>
        <w:tblW w:type="dxa" w:w="10224"/>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95" w:type="dxa"/>
          <w:right w:w="95" w:type="dxa"/>
        </w:tblCellMar>
      </w:tblPr>
      <w:tblGrid>
        <w:gridCol w:w="2304"/>
        <w:gridCol w:w="7920"/>
      </w:tblGrid>
      <w:tr>
        <w:trPr>
          <w:cantSplit/>
          <w:tblHeader/>
        </w:trPr>
        <w:tc>
          <w:tcPr>
            <w:tcW w:type="dxa" w:w="2304"/>
            <w:vAlign w:val="center"/>
            <w:shd w:fill="3D3D3D"/>
          </w:tcPr>
          <w:p>
            <w:pPr>
              <w:pStyle w:val="TableText"/>
              <w:keepNext w:val="0"/>
              <w:keepLines/>
              <w:spacing w:after="0"/>
            </w:pPr>
            <w:r>
              <w:rPr>
                <w:b/>
                <w:color w:val="FFFFFF"/>
              </w:rPr>
              <w:t>Pozycja lub grupa</w:t>
            </w:r>
          </w:p>
        </w:tc>
        <w:tc>
          <w:tcPr>
            <w:tcW w:type="dxa" w:w="7920"/>
            <w:vAlign w:val="center"/>
            <w:shd w:fill="3D3D3D"/>
          </w:tcPr>
          <w:p>
            <w:pPr>
              <w:pStyle w:val="TableText"/>
              <w:keepNext w:val="0"/>
              <w:keepLines/>
              <w:spacing w:after="0"/>
            </w:pPr>
            <w:r>
              <w:rPr>
                <w:b/>
                <w:color w:val="FFFFFF"/>
              </w:rPr>
              <w:t>Ocena na podstawie dostarczonego materiału</w:t>
            </w:r>
          </w:p>
        </w:tc>
      </w:tr>
      <w:tr>
        <w:trPr>
          <w:cantSplit/>
        </w:trPr>
        <w:tc>
          <w:tcPr>
            <w:tcW w:type="dxa" w:w="2304"/>
            <w:vAlign w:val="center"/>
            <w:shd w:fill="FFFFFF"/>
          </w:tcPr>
          <w:p>
            <w:pPr>
              <w:pStyle w:val="TableText"/>
              <w:keepNext w:val="0"/>
              <w:keepLines/>
              <w:spacing w:after="0"/>
            </w:pPr>
            <w:r>
              <w:t>F-001 i TLE9104SH</w:t>
            </w:r>
          </w:p>
        </w:tc>
        <w:tc>
          <w:tcPr>
            <w:tcW w:type="dxa" w:w="7920"/>
            <w:vAlign w:val="center"/>
            <w:shd w:fill="FFFFFF"/>
          </w:tcPr>
          <w:p>
            <w:pPr>
              <w:pStyle w:val="TableText"/>
              <w:keepNext w:val="0"/>
              <w:keepLines/>
              <w:spacing w:after="0"/>
            </w:pPr>
            <w:r>
              <w:t>Poprawiona kategoria drivera potwierdzona funkcją katalogową. Dopasowanie do przyszłych wtryskiwaczy pozostaje niewykazane.</w:t>
            </w:r>
          </w:p>
        </w:tc>
      </w:tr>
      <w:tr>
        <w:trPr>
          <w:cantSplit/>
        </w:trPr>
        <w:tc>
          <w:tcPr>
            <w:tcW w:type="dxa" w:w="2304"/>
            <w:vAlign w:val="center"/>
            <w:shd w:fill="F4F4F4"/>
          </w:tcPr>
          <w:p>
            <w:pPr>
              <w:pStyle w:val="TableText"/>
              <w:keepNext w:val="0"/>
              <w:keepLines/>
              <w:spacing w:after="0"/>
            </w:pPr>
            <w:r>
              <w:t>F-002 zasilanie</w:t>
            </w:r>
          </w:p>
        </w:tc>
        <w:tc>
          <w:tcPr>
            <w:tcW w:type="dxa" w:w="7920"/>
            <w:vAlign w:val="center"/>
            <w:shd w:fill="F4F4F4"/>
          </w:tcPr>
          <w:p>
            <w:pPr>
              <w:pStyle w:val="TableText"/>
              <w:keepNext w:val="0"/>
              <w:keepLines/>
              <w:spacing w:after="0"/>
            </w:pPr>
            <w:r>
              <w:t>Kierunek naprawy zasadny. Wyjaśnienie błędu ratiometrycznego wymaga referencji ADC, a ochrona instalacji i pełny bilans pozostają otwarte.</w:t>
            </w:r>
          </w:p>
        </w:tc>
      </w:tr>
      <w:tr>
        <w:trPr>
          <w:cantSplit/>
        </w:trPr>
        <w:tc>
          <w:tcPr>
            <w:tcW w:type="dxa" w:w="2304"/>
            <w:vAlign w:val="center"/>
            <w:shd w:fill="FFFFFF"/>
          </w:tcPr>
          <w:p>
            <w:pPr>
              <w:pStyle w:val="TableText"/>
              <w:keepNext w:val="0"/>
              <w:keepLines/>
              <w:spacing w:after="0"/>
            </w:pPr>
            <w:r>
              <w:t>F-003 TJA1043</w:t>
            </w:r>
          </w:p>
        </w:tc>
        <w:tc>
          <w:tcPr>
            <w:tcW w:type="dxa" w:w="7920"/>
            <w:vAlign w:val="center"/>
            <w:shd w:fill="FFFFFF"/>
          </w:tcPr>
          <w:p>
            <w:pPr>
              <w:pStyle w:val="TableText"/>
              <w:keepNext w:val="0"/>
              <w:keepLines/>
              <w:spacing w:after="0"/>
            </w:pPr>
            <w:r>
              <w:t>Poprawiono twierdzenie o zaniku VCC/VIO. Standby oznacza niskoprądowe wykrycie wake, nie odbiór danych CAN w trybie normalnym; brak pełnego drzewa domen.</w:t>
            </w:r>
          </w:p>
        </w:tc>
      </w:tr>
      <w:tr>
        <w:trPr>
          <w:cantSplit/>
        </w:trPr>
        <w:tc>
          <w:tcPr>
            <w:tcW w:type="dxa" w:w="2304"/>
            <w:vAlign w:val="center"/>
            <w:shd w:fill="F4F4F4"/>
          </w:tcPr>
          <w:p>
            <w:pPr>
              <w:pStyle w:val="TableText"/>
              <w:keepNext w:val="0"/>
              <w:keepLines/>
              <w:spacing w:after="0"/>
            </w:pPr>
            <w:r>
              <w:t>F-005 restart i K4</w:t>
            </w:r>
          </w:p>
        </w:tc>
        <w:tc>
          <w:tcPr>
            <w:tcW w:type="dxa" w:w="7920"/>
            <w:vAlign w:val="center"/>
            <w:shd w:fill="F4F4F4"/>
          </w:tcPr>
          <w:p>
            <w:pPr>
              <w:pStyle w:val="TableText"/>
              <w:keepNext w:val="0"/>
              <w:keepLines/>
              <w:spacing w:after="0"/>
            </w:pPr>
            <w:r>
              <w:t>Cel poprawy właściwy. Zachowanie przy uszkodzonym VR, resetach i odłączeniu zasilania wymaga dalszego dowodu.</w:t>
            </w:r>
          </w:p>
        </w:tc>
      </w:tr>
      <w:tr>
        <w:trPr>
          <w:cantSplit/>
        </w:trPr>
        <w:tc>
          <w:tcPr>
            <w:tcW w:type="dxa" w:w="2304"/>
            <w:vAlign w:val="center"/>
            <w:shd w:fill="FFFFFF"/>
          </w:tcPr>
          <w:p>
            <w:pPr>
              <w:pStyle w:val="TableText"/>
              <w:keepNext w:val="0"/>
              <w:keepLines/>
              <w:spacing w:after="0"/>
            </w:pPr>
            <w:r>
              <w:t>F-006 rozrusznik</w:t>
            </w:r>
          </w:p>
        </w:tc>
        <w:tc>
          <w:tcPr>
            <w:tcW w:type="dxa" w:w="7920"/>
            <w:vAlign w:val="center"/>
            <w:shd w:fill="FFFFFF"/>
          </w:tcPr>
          <w:p>
            <w:pPr>
              <w:pStyle w:val="TableText"/>
              <w:keepNext w:val="0"/>
              <w:keepLines/>
              <w:spacing w:after="0"/>
            </w:pPr>
            <w:r>
              <w:t>Deklarowane usunięcie koła logicznego zasadne. Bez pełnej maszyny stanów nie można niezależnie potwierdzić całej sekwencji.</w:t>
            </w:r>
          </w:p>
        </w:tc>
      </w:tr>
      <w:tr>
        <w:trPr>
          <w:cantSplit/>
        </w:trPr>
        <w:tc>
          <w:tcPr>
            <w:tcW w:type="dxa" w:w="2304"/>
            <w:vAlign w:val="center"/>
            <w:shd w:fill="F4F4F4"/>
          </w:tcPr>
          <w:p>
            <w:pPr>
              <w:pStyle w:val="TableText"/>
              <w:keepNext w:val="0"/>
              <w:keepLines/>
              <w:spacing w:after="0"/>
            </w:pPr>
            <w:r>
              <w:t>F-009 i F-019 MCU</w:t>
            </w:r>
          </w:p>
        </w:tc>
        <w:tc>
          <w:tcPr>
            <w:tcW w:type="dxa" w:w="7920"/>
            <w:vAlign w:val="center"/>
            <w:shd w:fill="F4F4F4"/>
          </w:tcPr>
          <w:p>
            <w:pPr>
              <w:pStyle w:val="TableText"/>
              <w:keepNext w:val="0"/>
              <w:keepLines/>
              <w:spacing w:after="0"/>
            </w:pPr>
            <w:r>
              <w:t>Dobór większej obudowy i kod VET3 są poprawnym kierunkiem. Rzeczywista macierz zasobów pozostaje warunkiem G2.</w:t>
            </w:r>
          </w:p>
        </w:tc>
      </w:tr>
      <w:tr>
        <w:trPr>
          <w:cantSplit/>
        </w:trPr>
        <w:tc>
          <w:tcPr>
            <w:tcW w:type="dxa" w:w="2304"/>
            <w:vAlign w:val="center"/>
            <w:shd w:fill="FFFFFF"/>
          </w:tcPr>
          <w:p>
            <w:pPr>
              <w:pStyle w:val="TableText"/>
              <w:keepNext w:val="0"/>
              <w:keepLines/>
              <w:spacing w:after="0"/>
            </w:pPr>
            <w:r>
              <w:t>F-013 trigger i C.1</w:t>
            </w:r>
          </w:p>
        </w:tc>
        <w:tc>
          <w:tcPr>
            <w:tcW w:type="dxa" w:w="7920"/>
            <w:vAlign w:val="center"/>
            <w:shd w:fill="FFFFFF"/>
          </w:tcPr>
          <w:p>
            <w:pPr>
              <w:pStyle w:val="TableText"/>
              <w:keepNext w:val="0"/>
              <w:keepLines/>
              <w:spacing w:after="0"/>
            </w:pPr>
            <w:r>
              <w:t>Zamknięcie wymaga ponownego przeglądu z powodu A06–A12. Pomiar geometrii nie wystarcza do potwierdzenia synchronizacji.</w:t>
            </w:r>
          </w:p>
        </w:tc>
      </w:tr>
      <w:tr>
        <w:trPr>
          <w:cantSplit/>
        </w:trPr>
        <w:tc>
          <w:tcPr>
            <w:tcW w:type="dxa" w:w="2304"/>
            <w:vAlign w:val="center"/>
            <w:shd w:fill="F4F4F4"/>
          </w:tcPr>
          <w:p>
            <w:pPr>
              <w:pStyle w:val="TableText"/>
              <w:keepNext w:val="0"/>
              <w:keepLines/>
              <w:spacing w:after="0"/>
            </w:pPr>
            <w:r>
              <w:t>F-023 macierz usterek</w:t>
            </w:r>
          </w:p>
        </w:tc>
        <w:tc>
          <w:tcPr>
            <w:tcW w:type="dxa" w:w="7920"/>
            <w:vAlign w:val="center"/>
            <w:shd w:fill="F4F4F4"/>
          </w:tcPr>
          <w:p>
            <w:pPr>
              <w:pStyle w:val="TableText"/>
              <w:keepNext w:val="0"/>
              <w:keepLines/>
              <w:spacing w:after="0"/>
            </w:pPr>
            <w:r>
              <w:t>Liczba 51 i deklarowana macierz są krokiem do przodu. Treści wszystkich kodów nie udostępniono, a klasyfikacja 5 V wymaga korekty.</w:t>
            </w:r>
          </w:p>
        </w:tc>
      </w:tr>
      <w:tr>
        <w:trPr>
          <w:cantSplit/>
        </w:trPr>
        <w:tc>
          <w:tcPr>
            <w:tcW w:type="dxa" w:w="2304"/>
            <w:vAlign w:val="center"/>
            <w:shd w:fill="FFFFFF"/>
          </w:tcPr>
          <w:p>
            <w:pPr>
              <w:pStyle w:val="TableText"/>
              <w:keepNext w:val="0"/>
              <w:keepLines/>
              <w:spacing w:after="0"/>
            </w:pPr>
            <w:r>
              <w:t>F-012 traceability</w:t>
            </w:r>
          </w:p>
        </w:tc>
        <w:tc>
          <w:tcPr>
            <w:tcW w:type="dxa" w:w="7920"/>
            <w:vAlign w:val="center"/>
            <w:shd w:fill="FFFFFF"/>
          </w:tcPr>
          <w:p>
            <w:pPr>
              <w:pStyle w:val="TableText"/>
              <w:keepNext w:val="0"/>
              <w:keepLines/>
              <w:spacing w:after="0"/>
            </w:pPr>
            <w:r>
              <w:t>105/105 może poprawnie opisywać istniejące ID. Nie zamyka funkcji bez wymagań ani wykonania testów.</w:t>
            </w:r>
          </w:p>
        </w:tc>
      </w:tr>
      <w:tr>
        <w:trPr>
          <w:cantSplit/>
        </w:trPr>
        <w:tc>
          <w:tcPr>
            <w:tcW w:type="dxa" w:w="2304"/>
            <w:vAlign w:val="center"/>
            <w:shd w:fill="F4F4F4"/>
          </w:tcPr>
          <w:p>
            <w:pPr>
              <w:pStyle w:val="TableText"/>
              <w:keepNext w:val="0"/>
              <w:keepLines/>
              <w:spacing w:after="0"/>
            </w:pPr>
            <w:r>
              <w:t>F-029 i F-033 rejestry oraz wersje</w:t>
            </w:r>
          </w:p>
        </w:tc>
        <w:tc>
          <w:tcPr>
            <w:tcW w:type="dxa" w:w="7920"/>
            <w:vAlign w:val="center"/>
            <w:shd w:fill="F4F4F4"/>
          </w:tcPr>
          <w:p>
            <w:pPr>
              <w:pStyle w:val="TableText"/>
              <w:keepNext w:val="0"/>
              <w:keepLines/>
              <w:spacing w:after="0"/>
            </w:pPr>
            <w:r>
              <w:t>Właściciele i metryki są poprawnym kierunkiem. Nie potwierdzono wszystkich wierszy ani trwałego baseline, ponieważ repozytorium jeszcze nie istnieje.</w:t>
            </w:r>
          </w:p>
        </w:tc>
      </w:tr>
      <w:tr>
        <w:trPr>
          <w:cantSplit/>
        </w:trPr>
        <w:tc>
          <w:tcPr>
            <w:tcW w:type="dxa" w:w="2304"/>
            <w:vAlign w:val="center"/>
            <w:shd w:fill="FFFFFF"/>
          </w:tcPr>
          <w:p>
            <w:pPr>
              <w:pStyle w:val="TableText"/>
              <w:keepNext w:val="0"/>
              <w:keepLines/>
              <w:spacing w:after="0"/>
            </w:pPr>
            <w:r>
              <w:t>F-031 diagram bezpieczeństwa</w:t>
            </w:r>
          </w:p>
        </w:tc>
        <w:tc>
          <w:tcPr>
            <w:tcW w:type="dxa" w:w="7920"/>
            <w:vAlign w:val="center"/>
            <w:shd w:fill="FFFFFF"/>
          </w:tcPr>
          <w:p>
            <w:pPr>
              <w:pStyle w:val="TableText"/>
              <w:keepNext w:val="0"/>
              <w:keepLines/>
              <w:spacing w:after="0"/>
            </w:pPr>
            <w:r>
              <w:t>Deklarowany jako częściowy. Diagramu nie dostarczono, a tabela odcięcia nie wystarcza do pełnej oceny bezpieczeństwa.</w:t>
            </w:r>
          </w:p>
        </w:tc>
      </w:tr>
      <w:tr>
        <w:trPr>
          <w:cantSplit/>
        </w:trPr>
        <w:tc>
          <w:tcPr>
            <w:tcW w:type="dxa" w:w="2304"/>
            <w:vAlign w:val="center"/>
            <w:shd w:fill="F4F4F4"/>
          </w:tcPr>
          <w:p>
            <w:pPr>
              <w:pStyle w:val="TableText"/>
              <w:keepNext w:val="0"/>
              <w:keepLines/>
              <w:spacing w:after="0"/>
            </w:pPr>
            <w:r>
              <w:t>F-008 i F-010</w:t>
            </w:r>
          </w:p>
        </w:tc>
        <w:tc>
          <w:tcPr>
            <w:tcW w:type="dxa" w:w="7920"/>
            <w:vAlign w:val="center"/>
            <w:shd w:fill="F4F4F4"/>
          </w:tcPr>
          <w:p>
            <w:pPr>
              <w:pStyle w:val="TableText"/>
              <w:keepNext w:val="0"/>
              <w:keepLines/>
              <w:spacing w:after="0"/>
            </w:pPr>
            <w:r>
              <w:t>Dossier prawidłowo pozostawia otwarte P0 specyfikacji i protokołów; nowy raport nie zamyka ich przez samą rekomendację.</w:t>
            </w:r>
          </w:p>
        </w:tc>
      </w:tr>
    </w:tbl>
    <w:p>
      <w:pPr>
        <w:keepNext w:val="0"/>
        <w:keepLines/>
        <w:spacing w:after="40"/>
      </w:pPr>
      <w:r/>
    </w:p>
    <w:p>
      <w:pPr>
        <w:keepNext w:val="0"/>
        <w:keepLines/>
      </w:pPr>
      <w:r>
        <w:t>Bilans 15 zamkniętych, 2 otwartych napraw i 19 prac fazowych sumuje się do 36; rozkład 10 P0, 21 P1 i 5 P2 jest spójny arytmetycznie. Zamknięcie 8 wcześniejszych P0 części naprawczej nie oznacza braku P0 w całym projekcie, a 50 pozycji tego raportu nie należy mechanicznie dodawać do 36 bez usunięcia nakładających się tematów.</w:t>
      </w:r>
    </w:p>
    <w:p>
      <w:bookmarkStart w:id="63" w:name="s13"/>
      <w:pPr>
        <w:pStyle w:val="Heading1"/>
      </w:pPr>
      <w:r>
        <w:t>13 Źródła i identyfikacja materiału wejściowego</w:t>
      </w:r>
      <w:bookmarkEnd w:id="63"/>
    </w:p>
    <w:p>
      <w:pPr>
        <w:keepNext w:val="0"/>
        <w:keepLines/>
      </w:pPr>
      <w:r>
        <w:t>Dokumenty producentów wykorzystano do sprawdzania parametrów i funkcji, nie jako dowód poprawnego zastosowania w ECU. Dostęp internetowy i stan stron zweryfikowano 11 października 2026. S12 i S13 służą wyłącznie jako sygnał statusu dystrybucyjnego BMI090L; nie są komunikatem producenta o zakończeniu produkcji. Kopie S10 i S11 są dokumentami Bosch udostępnionymi przez dystrybutorów.</w:t>
      </w:r>
    </w:p>
    <w:p>
      <w:pPr>
        <w:keepNext/>
        <w:keepLines/>
      </w:pPr>
      <w:r>
        <w:rPr>
          <w:b/>
        </w:rPr>
        <w:t xml:space="preserve">S00 Dossier audytowe ECU Dust ONE </w:t>
      </w:r>
      <w:r/>
    </w:p>
    <w:p>
      <w:pPr>
        <w:pStyle w:val="Evidence"/>
        <w:keepNext w:val="0"/>
        <w:keepLines/>
      </w:pPr>
      <w:r>
        <w:t xml:space="preserve">DOC-010 v1.1, 2026-10-11, 470 linii • </w:t>
      </w:r>
      <w:r>
        <w:t>Dostarczony plik dossier-audytowe.md, odczytany w całości. Pozostałe dokumenty projektowe występują wyłącznie jako odwołania w tym pliku.</w:t>
      </w:r>
    </w:p>
    <w:p>
      <w:pPr>
        <w:keepNext/>
        <w:keepLines/>
      </w:pPr>
      <w:r>
        <w:rPr>
          <w:b/>
        </w:rPr>
        <w:t xml:space="preserve">S01 Beta RR 250 i 300 2T instrukcja fabryczna MY2015 </w:t>
      </w:r>
      <w:r/>
    </w:p>
    <w:p>
      <w:pPr>
        <w:pStyle w:val="Evidence"/>
        <w:keepNext w:val="0"/>
        <w:keepLines/>
      </w:pPr>
      <w:r>
        <w:t xml:space="preserve">Kod 026440130 000GB, s. 23–25; DC-CDI i układ rozruchu • </w:t>
      </w:r>
      <w:hyperlink r:id="rId11">
        <w:r>
          <w:rPr>
            <w:color w:val="000000"/>
            <w:u w:val="single"/>
          </w:rPr>
          <w:t>Dokument źródłowy</w:t>
        </w:r>
      </w:hyperlink>
    </w:p>
    <w:p>
      <w:pPr>
        <w:keepNext/>
        <w:keepLines/>
      </w:pPr>
      <w:r>
        <w:rPr>
          <w:b/>
        </w:rPr>
        <w:t xml:space="preserve">S02 STMicroelectronics VBG08H-E </w:t>
      </w:r>
      <w:r/>
    </w:p>
    <w:p>
      <w:pPr>
        <w:pStyle w:val="Evidence"/>
        <w:keepNext w:val="0"/>
        <w:keepLines/>
      </w:pPr>
      <w:r>
        <w:t xml:space="preserve">DocID024413 Rev 3, s. 5–6, 8, 11–12, 19–22 • </w:t>
      </w:r>
      <w:hyperlink r:id="rId12">
        <w:r>
          <w:rPr>
            <w:color w:val="000000"/>
            <w:u w:val="single"/>
          </w:rPr>
          <w:t>Dokument źródłowy</w:t>
        </w:r>
      </w:hyperlink>
    </w:p>
    <w:p>
      <w:pPr>
        <w:keepNext/>
        <w:keepLines/>
      </w:pPr>
      <w:r>
        <w:rPr>
          <w:b/>
        </w:rPr>
        <w:t xml:space="preserve">S03 Analog Devices MAX9924 do MAX9927 </w:t>
      </w:r>
      <w:r/>
    </w:p>
    <w:p>
      <w:pPr>
        <w:pStyle w:val="Evidence"/>
        <w:keepNext w:val="0"/>
        <w:keepLines/>
      </w:pPr>
      <w:r>
        <w:t xml:space="preserve">Rev 5, s. 1–3, 12–14; progi, tryby, znacznik i pobór • </w:t>
      </w:r>
      <w:hyperlink r:id="rId13">
        <w:r>
          <w:rPr>
            <w:color w:val="000000"/>
            <w:u w:val="single"/>
          </w:rPr>
          <w:t>Dokument źródłowy</w:t>
        </w:r>
      </w:hyperlink>
    </w:p>
    <w:p>
      <w:pPr>
        <w:keepNext/>
        <w:keepLines/>
      </w:pPr>
      <w:r>
        <w:rPr>
          <w:b/>
        </w:rPr>
        <w:t xml:space="preserve">S04 Texas Instruments TPS3430-Q1 </w:t>
      </w:r>
      <w:r/>
    </w:p>
    <w:p>
      <w:pPr>
        <w:pStyle w:val="Evidence"/>
        <w:keepNext w:val="0"/>
        <w:keepLines/>
      </w:pPr>
      <w:r>
        <w:t xml:space="preserve">SBVS367A, rewizja wrzesień 2021, s. 6–7, 11–16 • </w:t>
      </w:r>
      <w:hyperlink r:id="rId14">
        <w:r>
          <w:rPr>
            <w:color w:val="000000"/>
            <w:u w:val="single"/>
          </w:rPr>
          <w:t>Dokument źródłowy</w:t>
        </w:r>
      </w:hyperlink>
    </w:p>
    <w:p>
      <w:pPr>
        <w:keepNext/>
        <w:keepLines/>
      </w:pPr>
      <w:r>
        <w:rPr>
          <w:b/>
        </w:rPr>
        <w:t xml:space="preserve">S05 NXP TJA1043 </w:t>
      </w:r>
      <w:r/>
    </w:p>
    <w:p>
      <w:pPr>
        <w:pStyle w:val="Evidence"/>
        <w:keepNext w:val="0"/>
        <w:keepLines/>
      </w:pPr>
      <w:r>
        <w:t xml:space="preserve">Rev 6, 10 listopada 2017, s. 6, 8–9, 14–15 • </w:t>
      </w:r>
      <w:hyperlink r:id="rId15">
        <w:r>
          <w:rPr>
            <w:color w:val="000000"/>
            <w:u w:val="single"/>
          </w:rPr>
          <w:t>Dokument źródłowy</w:t>
        </w:r>
      </w:hyperlink>
    </w:p>
    <w:p>
      <w:pPr>
        <w:keepNext/>
        <w:keepLines/>
      </w:pPr>
      <w:r>
        <w:rPr>
          <w:b/>
        </w:rPr>
        <w:t xml:space="preserve">S06 STMicroelectronics STM32G474xB xC xE </w:t>
      </w:r>
      <w:r/>
    </w:p>
    <w:p>
      <w:pPr>
        <w:pStyle w:val="Evidence"/>
        <w:keepNext w:val="0"/>
        <w:keepLines/>
      </w:pPr>
      <w:r>
        <w:t xml:space="preserve">DS12288 Rev 6, szczególnie s. 102–103 oraz kod zamówienia • </w:t>
      </w:r>
      <w:hyperlink r:id="rId16">
        <w:r>
          <w:rPr>
            <w:color w:val="000000"/>
            <w:u w:val="single"/>
          </w:rPr>
          <w:t>Dokument źródłowy</w:t>
        </w:r>
      </w:hyperlink>
    </w:p>
    <w:p>
      <w:pPr>
        <w:keepNext/>
        <w:keepLines/>
      </w:pPr>
      <w:r>
        <w:rPr>
          <w:b/>
        </w:rPr>
        <w:t xml:space="preserve">S07 Riverdi RVT35HHBFWN00 </w:t>
      </w:r>
      <w:r/>
    </w:p>
    <w:p>
      <w:pPr>
        <w:pStyle w:val="Evidence"/>
        <w:keepNext w:val="0"/>
        <w:keepLines/>
      </w:pPr>
      <w:r>
        <w:t xml:space="preserve">Rev 1.7, 24 lutego 2023, s. 1, 7–8, 10, 12–14, 19 • </w:t>
      </w:r>
      <w:hyperlink r:id="rId17">
        <w:r>
          <w:rPr>
            <w:color w:val="000000"/>
            <w:u w:val="single"/>
          </w:rPr>
          <w:t>Dokument źródłowy</w:t>
        </w:r>
      </w:hyperlink>
    </w:p>
    <w:p>
      <w:pPr>
        <w:keepNext/>
        <w:keepLines/>
      </w:pPr>
      <w:r>
        <w:rPr>
          <w:b/>
        </w:rPr>
        <w:t xml:space="preserve">S08 STMicroelectronics HRTIM cookbook </w:t>
      </w:r>
      <w:r/>
    </w:p>
    <w:p>
      <w:pPr>
        <w:pStyle w:val="Evidence"/>
        <w:keepNext w:val="0"/>
        <w:keepLines/>
      </w:pPr>
      <w:r>
        <w:t xml:space="preserve">AN4539 Rev 5, s. 9 i 16; zegar, preskalery i DLL • </w:t>
      </w:r>
      <w:hyperlink r:id="rId18">
        <w:r>
          <w:rPr>
            <w:color w:val="000000"/>
            <w:u w:val="single"/>
          </w:rPr>
          <w:t>Dokument źródłowy</w:t>
        </w:r>
      </w:hyperlink>
    </w:p>
    <w:p>
      <w:pPr>
        <w:keepNext/>
        <w:keepLines/>
      </w:pPr>
      <w:r>
        <w:rPr>
          <w:b/>
        </w:rPr>
        <w:t xml:space="preserve">S09 STMicroelectronics errata STM32G471 do STM32G484 </w:t>
      </w:r>
      <w:r/>
    </w:p>
    <w:p>
      <w:pPr>
        <w:pStyle w:val="Evidence"/>
        <w:keepNext w:val="0"/>
        <w:keepLines/>
      </w:pPr>
      <w:r>
        <w:t xml:space="preserve">ES0430 Rev 9, czerwiec 2024, rozdz. 2.11 HRTIM; sprawdzić ograniczenia właściwe dla faktycznej rewizji krzemu. • </w:t>
      </w:r>
      <w:hyperlink r:id="rId19">
        <w:r>
          <w:rPr>
            <w:color w:val="000000"/>
            <w:u w:val="single"/>
          </w:rPr>
          <w:t>Dokument źródłowy</w:t>
        </w:r>
      </w:hyperlink>
    </w:p>
    <w:p>
      <w:pPr>
        <w:keepNext/>
        <w:keepLines/>
      </w:pPr>
      <w:r>
        <w:rPr>
          <w:b/>
        </w:rPr>
        <w:t xml:space="preserve">S10 Bosch Sensortec Product Flyer BMI090L </w:t>
      </w:r>
      <w:r/>
    </w:p>
    <w:p>
      <w:pPr>
        <w:pStyle w:val="Evidence"/>
        <w:keepNext w:val="0"/>
        <w:keepLines/>
      </w:pPr>
      <w:r>
        <w:t xml:space="preserve">BST-BMI090L-FL000-00 v1.0, luty 2020; dokument producenta, kopia dystrybucyjna • </w:t>
      </w:r>
      <w:hyperlink r:id="rId20">
        <w:r>
          <w:rPr>
            <w:color w:val="000000"/>
            <w:u w:val="single"/>
          </w:rPr>
          <w:t>Dokument źródłowy</w:t>
        </w:r>
      </w:hyperlink>
    </w:p>
    <w:p>
      <w:pPr>
        <w:keepNext/>
        <w:keepLines/>
      </w:pPr>
      <w:r>
        <w:rPr>
          <w:b/>
        </w:rPr>
        <w:t xml:space="preserve">S11 Bosch Sensortec BMI090L datasheet </w:t>
      </w:r>
      <w:r/>
    </w:p>
    <w:p>
      <w:pPr>
        <w:pStyle w:val="Evidence"/>
        <w:keepNext w:val="0"/>
        <w:keepLines/>
      </w:pPr>
      <w:r>
        <w:t xml:space="preserve">BST-BMI090L-DS000-00 Rev 1.0, kwiecień 2020, s. 55 i 57; dokument producenta, kopia dystrybucyjna • </w:t>
      </w:r>
      <w:hyperlink r:id="rId21">
        <w:r>
          <w:rPr>
            <w:color w:val="000000"/>
            <w:u w:val="single"/>
          </w:rPr>
          <w:t>Dokument źródłowy</w:t>
        </w:r>
      </w:hyperlink>
    </w:p>
    <w:p>
      <w:pPr>
        <w:keepNext/>
        <w:keepLines/>
      </w:pPr>
      <w:r>
        <w:rPr>
          <w:b/>
        </w:rPr>
        <w:t xml:space="preserve">S12 Mouser karta katalogowa BMI090L </w:t>
      </w:r>
      <w:r/>
    </w:p>
    <w:p>
      <w:pPr>
        <w:pStyle w:val="Evidence"/>
        <w:keepNext w:val="0"/>
        <w:keepLines/>
      </w:pPr>
      <w:r>
        <w:t xml:space="preserve">Stan indeksowanej karty przy weryfikacji: Obsolete; nie uzyskano pełnego komunikatu producenta • </w:t>
      </w:r>
      <w:hyperlink r:id="rId22">
        <w:r>
          <w:rPr>
            <w:color w:val="000000"/>
            <w:u w:val="single"/>
          </w:rPr>
          <w:t>Dokument źródłowy</w:t>
        </w:r>
      </w:hyperlink>
    </w:p>
    <w:p>
      <w:pPr>
        <w:keepNext/>
        <w:keepLines/>
      </w:pPr>
      <w:r>
        <w:rPr>
          <w:b/>
        </w:rPr>
        <w:t xml:space="preserve">S13 Arrow karta katalogowa BMI090L </w:t>
      </w:r>
      <w:r/>
    </w:p>
    <w:p>
      <w:pPr>
        <w:pStyle w:val="Evidence"/>
        <w:keepNext w:val="0"/>
        <w:keepLines/>
      </w:pPr>
      <w:r>
        <w:t xml:space="preserve">Stan karty przy weryfikacji: Obsolete; źródło statusu dystrybucyjnego • </w:t>
      </w:r>
      <w:hyperlink r:id="rId23">
        <w:r>
          <w:rPr>
            <w:color w:val="000000"/>
            <w:u w:val="single"/>
          </w:rPr>
          <w:t>Dokument źródłowy</w:t>
        </w:r>
      </w:hyperlink>
    </w:p>
    <w:p>
      <w:pPr>
        <w:keepNext/>
        <w:keepLines/>
      </w:pPr>
      <w:r>
        <w:rPr>
          <w:b/>
        </w:rPr>
        <w:t xml:space="preserve">S14 Infineon BTS7008-2EPA </w:t>
      </w:r>
      <w:r/>
    </w:p>
    <w:p>
      <w:pPr>
        <w:pStyle w:val="Evidence"/>
        <w:keepNext w:val="0"/>
        <w:keepLines/>
      </w:pPr>
      <w:r>
        <w:t xml:space="preserve">Strona produktu; kanały, prąd nominalny i status cyklu życia • </w:t>
      </w:r>
      <w:hyperlink r:id="rId24">
        <w:r>
          <w:rPr>
            <w:color w:val="000000"/>
            <w:u w:val="single"/>
          </w:rPr>
          <w:t>Dokument źródłowy</w:t>
        </w:r>
      </w:hyperlink>
    </w:p>
    <w:p>
      <w:pPr>
        <w:keepNext/>
        <w:keepLines/>
      </w:pPr>
      <w:r>
        <w:rPr>
          <w:b/>
        </w:rPr>
        <w:t xml:space="preserve">S15 Melexis MLX90316 </w:t>
      </w:r>
      <w:r/>
    </w:p>
    <w:p>
      <w:pPr>
        <w:pStyle w:val="Evidence"/>
        <w:keepNext w:val="0"/>
        <w:keepLines/>
      </w:pPr>
      <w:r>
        <w:t xml:space="preserve">Strona producenta; zasada pomiaru, interfejsy i kalibracja • </w:t>
      </w:r>
      <w:hyperlink r:id="rId25">
        <w:r>
          <w:rPr>
            <w:color w:val="000000"/>
            <w:u w:val="single"/>
          </w:rPr>
          <w:t>Dokument źródłowy</w:t>
        </w:r>
      </w:hyperlink>
    </w:p>
    <w:p>
      <w:pPr>
        <w:keepNext/>
        <w:keepLines/>
      </w:pPr>
      <w:r>
        <w:rPr>
          <w:b/>
        </w:rPr>
        <w:t xml:space="preserve">S16 Infineon TLE9104SH </w:t>
      </w:r>
      <w:r/>
    </w:p>
    <w:p>
      <w:pPr>
        <w:pStyle w:val="Evidence"/>
        <w:keepNext w:val="0"/>
        <w:keepLines/>
      </w:pPr>
      <w:r>
        <w:t xml:space="preserve">Strona produktu; 4 kanały low-side, rodzaje obciążeń i TLE9104SHXUMA1 • </w:t>
      </w:r>
      <w:hyperlink r:id="rId26">
        <w:r>
          <w:rPr>
            <w:color w:val="000000"/>
            <w:u w:val="single"/>
          </w:rPr>
          <w:t>Dokument źródłowy</w:t>
        </w:r>
      </w:hyperlink>
    </w:p>
    <w:p>
      <w:pPr>
        <w:keepNext/>
        <w:keepLines/>
      </w:pPr>
      <w:r>
        <w:rPr>
          <w:b/>
        </w:rPr>
        <w:t xml:space="preserve">S17 STMicroelectronics STM32G474VE </w:t>
      </w:r>
      <w:r/>
    </w:p>
    <w:p>
      <w:pPr>
        <w:pStyle w:val="Evidence"/>
        <w:keepNext w:val="0"/>
        <w:keepLines/>
      </w:pPr>
      <w:r>
        <w:t xml:space="preserve">Strona produktu; zasoby i dostępny wariant STM32G474VET3 • </w:t>
      </w:r>
      <w:hyperlink r:id="rId27">
        <w:r>
          <w:rPr>
            <w:color w:val="000000"/>
            <w:u w:val="single"/>
          </w:rPr>
          <w:t>Dokument źródłowy</w:t>
        </w:r>
      </w:hyperlink>
    </w:p>
    <w:p>
      <w:pPr>
        <w:pStyle w:val="Heading2"/>
      </w:pPr>
      <w:r>
        <w:t>Identyfikacja pliku wejściowego</w:t>
      </w:r>
    </w:p>
    <w:p>
      <w:pPr>
        <w:pStyle w:val="Metadata"/>
        <w:keepNext w:val="0"/>
        <w:keepLines/>
      </w:pPr>
      <w:r>
        <w:t>Nazwa dossier-audytowe.md • DOC-010 v1.1 • 34 859 bajtów • 470 linii</w:t>
      </w:r>
    </w:p>
    <w:p>
      <w:pPr>
        <w:pStyle w:val="Evidence"/>
        <w:keepNext w:val="0"/>
        <w:keepLines/>
      </w:pPr>
      <w:r>
        <w:t>SHA-256 dc702804a784c478435c31985c07d3dc</w:t>
        <w:br/>
        <w:t>3905c9a48be0ed7b8d69ad101254d045</w:t>
      </w:r>
    </w:p>
    <w:p>
      <w:pPr>
        <w:pStyle w:val="Evidence"/>
        <w:keepNext w:val="0"/>
        <w:keepLines/>
      </w:pPr>
      <w:r>
        <w:t>Pełną sumę SHA-256 tworzą obie linie połączone bez spacji. Zmiana materiału wejściowego wymaga przeglądu zależnych ustaleń.</w:t>
      </w:r>
    </w:p>
    <w:sectPr w:rsidR="00FC693F" w:rsidRPr="0006063C" w:rsidSect="00034616">
      <w:headerReference w:type="default" r:id="rId9"/>
      <w:footerReference w:type="default" r:id="rId10"/>
      <w:pgSz w:w="12240" w:h="15840"/>
      <w:pgMar w:top="936" w:right="1008" w:bottom="936" w:left="1008"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11 października 2026   |   Strona </w:t>
    </w:r>
    <w:r>
      <w:rPr>
        <w:sz w:val="16"/>
      </w:rPr>
      <w:fldChar w:fldCharType="begin"/>
      <w:instrText xml:space="preserve"> PAGE </w:instrText>
      <w:fldChar w:fldCharType="separate"/>
      <w:t>1</w:t>
      <w:fldChar w:fldCharType="end"/>
    </w:r>
    <w:r>
      <w:rPr>
        <w:sz w:val="16"/>
      </w:rPr>
      <w:t xml:space="preserve"> z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color w:val="000000"/>
        <w:sz w:val="16"/>
      </w:rPr>
      <w:t>ECU Dust ONE   |   Audyt techniczny   |   AUD-ECU-002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40"/>
      <w:outlineLvl w:val="0"/>
    </w:pPr>
    <w:rPr>
      <w:rFonts w:asciiTheme="majorHAnsi" w:eastAsiaTheme="majorEastAsia" w:hAnsiTheme="majorHAnsi" w:cstheme="majorBidi" w:ascii="DejaVu Sans" w:hAnsi="DejaVu Sans"/>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DejaVu Sans" w:hAnsi="DejaVu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80" w:line="240" w:lineRule="auto"/>
      <w:contextualSpacing/>
    </w:pPr>
    <w:rPr>
      <w:rFonts w:asciiTheme="majorHAnsi" w:eastAsiaTheme="majorEastAsia" w:hAnsiTheme="majorHAnsi" w:cstheme="majorBidi" w:ascii="DejaVu Sans" w:hAnsi="DejaVu San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00"/>
    </w:pPr>
    <w:rPr>
      <w:rFonts w:asciiTheme="majorHAnsi" w:eastAsiaTheme="majorEastAsia" w:hAnsiTheme="majorHAnsi" w:cstheme="majorBidi" w:ascii="DejaVu Sans" w:hAnsi="DejaVu Sans"/>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00"/>
    </w:pPr>
    <w:rPr>
      <w:rFonts w:ascii="DejaVu Sans" w:hAnsi="DejaVu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
    <w:name w:val="Evidence"/>
    <w:basedOn w:val="Normal"/>
    <w:pPr>
      <w:widowControl/>
      <w:spacing w:line="252" w:lineRule="auto" w:after="80"/>
    </w:pPr>
    <w:rPr>
      <w:rFonts w:ascii="DejaVu Sans" w:hAnsi="DejaVu Sans"/>
      <w:color w:val="000000"/>
      <w:sz w:val="18"/>
    </w:rPr>
  </w:style>
  <w:style w:type="paragraph" w:customStyle="1" w:styleId="TableText">
    <w:name w:val="Table Text"/>
    <w:basedOn w:val="Normal"/>
    <w:pPr>
      <w:widowControl/>
      <w:spacing w:line="252" w:lineRule="auto" w:after="80"/>
    </w:pPr>
    <w:rPr>
      <w:rFonts w:ascii="DejaVu Sans" w:hAnsi="DejaVu Sans"/>
      <w:color w:val="000000"/>
      <w:sz w:val="18"/>
    </w:rPr>
  </w:style>
  <w:style w:type="paragraph" w:customStyle="1" w:styleId="Metadata">
    <w:name w:val="Metadata"/>
    <w:basedOn w:val="Normal"/>
    <w:pPr>
      <w:widowControl/>
      <w:spacing w:line="252" w:lineRule="auto" w:after="80"/>
    </w:pPr>
    <w:rPr>
      <w:rFonts w:ascii="DejaVu Sans" w:hAnsi="DejaVu Sans"/>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etausa.com/content/SUPPORT_PDF's/2015%20RR%202%20stroke%20Owners%20Manual.pdf" TargetMode="External"/><Relationship Id="rId12" Type="http://schemas.openxmlformats.org/officeDocument/2006/relationships/hyperlink" Target="https://www.st.com/resource/en/datasheet/vbg08h-e.pdf" TargetMode="External"/><Relationship Id="rId13" Type="http://schemas.openxmlformats.org/officeDocument/2006/relationships/hyperlink" Target="https://www.analog.com/media/en/technical-documentation/data-sheets/MAX9924-MAX9927.pdf" TargetMode="External"/><Relationship Id="rId14" Type="http://schemas.openxmlformats.org/officeDocument/2006/relationships/hyperlink" Target="https://www.ti.com/lit/ds/symlink/tps3430-q1.pdf" TargetMode="External"/><Relationship Id="rId15" Type="http://schemas.openxmlformats.org/officeDocument/2006/relationships/hyperlink" Target="https://www.nxp.com/docs/en/data-sheet/TJA1043.pdf" TargetMode="External"/><Relationship Id="rId16" Type="http://schemas.openxmlformats.org/officeDocument/2006/relationships/hyperlink" Target="https://www.st.com/resource/en/datasheet/stm32g474ve.pdf" TargetMode="External"/><Relationship Id="rId17" Type="http://schemas.openxmlformats.org/officeDocument/2006/relationships/hyperlink" Target="https://download.riverdi.com/RVT35HHBFWN00/DS_RVT35HHBFWN00_Rev.1.7.pdf" TargetMode="External"/><Relationship Id="rId18" Type="http://schemas.openxmlformats.org/officeDocument/2006/relationships/hyperlink" Target="https://www.st.com/resource/en/application_note/an4539-hrtim-cookbook-stmicroelectronics.pdf" TargetMode="External"/><Relationship Id="rId19" Type="http://schemas.openxmlformats.org/officeDocument/2006/relationships/hyperlink" Target="https://www.st.com/resource/en/errata_sheet/es0430-stm32g471xx473xx474xx483xx484xx-device-errata-stmicroelectronics.pdf" TargetMode="External"/><Relationship Id="rId20" Type="http://schemas.openxmlformats.org/officeDocument/2006/relationships/hyperlink" Target="https://www.mouser.com/pdfDocs/bst-bmi090l-fl000-00.pdf" TargetMode="External"/><Relationship Id="rId21" Type="http://schemas.openxmlformats.org/officeDocument/2006/relationships/hyperlink" Target="https://mm.digikey.com/Volume0/opasdata/d220001/medias/docus/4807/BST-BMI090L-DS000-00.pdf" TargetMode="External"/><Relationship Id="rId22" Type="http://schemas.openxmlformats.org/officeDocument/2006/relationships/hyperlink" Target="https://www.mouser.com/ProductDetail/Bosch-Sensortec/BMI090L?qs=YwPsRIUVAOdtsEatZD0CHg%3D%3D" TargetMode="External"/><Relationship Id="rId23" Type="http://schemas.openxmlformats.org/officeDocument/2006/relationships/hyperlink" Target="https://www.arrow.com/en/products/bmi090l/bosch.html" TargetMode="External"/><Relationship Id="rId24" Type="http://schemas.openxmlformats.org/officeDocument/2006/relationships/hyperlink" Target="https://www.infineon.com/part/BTS7008-2EPA" TargetMode="External"/><Relationship Id="rId25" Type="http://schemas.openxmlformats.org/officeDocument/2006/relationships/hyperlink" Target="https://www.melexis.com/en/product/MLX90316/Triaxis-mainstream-rotary-position-sensor-IC-Analog-PWM-SPI" TargetMode="External"/><Relationship Id="rId26" Type="http://schemas.openxmlformats.org/officeDocument/2006/relationships/hyperlink" Target="https://www.infineon.com/part/TLE9104SH" TargetMode="External"/><Relationship Id="rId27" Type="http://schemas.openxmlformats.org/officeDocument/2006/relationships/hyperlink" Target="https://www.st.com/en/microcontrollers-microprocessors/stm32g474v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Audyt techniczny projektu ECU Dust ONE</dc:title>
  <dc:subject>Ocena DOC-010 v1.1 oraz opisanych decyzji projektowych MVP-A</dc:subject>
  <dc:creator>ChatGPT — analiza techniczna na zlecenie Pawła</dc:creator>
  <cp:keywords>ECU, Dust ONE, Beta 300 RR 2015, audyt, zapłon, MVP-A</cp:keywords>
  <dc:description>Ocena dokumentacji i źródeł. Bez testów sprzętu i bez pełnych dokumentów DOC-001–009.</dc:description>
  <cp:lastModifiedBy/>
  <cp:revision>1</cp:revision>
  <dcterms:created xsi:type="dcterms:W3CDTF">2013-12-23T23:15:00Z</dcterms:created>
  <dcterms:modified xsi:type="dcterms:W3CDTF">2013-12-23T23:15:00Z</dcterms:modified>
  <cp:category/>
</cp:coreProperties>
</file>