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-126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Las Palabras Del Dia</w:t>
      </w:r>
    </w:p>
    <w:tbl>
      <w:tblPr>
        <w:tblStyle w:val="Table1"/>
        <w:bidiVisual w:val="0"/>
        <w:tblW w:w="12225.0" w:type="dxa"/>
        <w:jc w:val="left"/>
        <w:tblInd w:w="-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ffffff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Sustantivos: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ffffff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Roboto Mono" w:cs="Roboto Mono" w:eastAsia="Roboto Mono" w:hAnsi="Roboto Mon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8"/>
                <w:szCs w:val="28"/>
                <w:rtl w:val="0"/>
              </w:rPr>
              <w:t xml:space="preserve">Verbos:</w:t>
            </w:r>
          </w:p>
        </w:tc>
      </w:tr>
      <w:tr>
        <w:trPr>
          <w:trHeight w:val="11100" w:hRule="atLeast"/>
        </w:trPr>
        <w:tc>
          <w:tcPr>
            <w:tcBorders>
              <w:top w:color="ffffff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apellido      - the last name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apodo         - the nickname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arcoiris      - the rainbow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audífono      - the headphone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burro         - the donkey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campeón       - the champion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caramelo      - the candy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comentario    - the commentary 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corazón       - the heart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diagrama      - the diagram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diente        - the tooth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dinosaurio    - the dinosaur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dulces        - the candy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encierros     - the bull run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frailecillo   - the puffin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globo         - the balloon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hielo         - the ice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idioma        - the language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laberinto     - the labyrinth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manatí        - the manatee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marcado       - the market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micrófono     - the microphone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mundo         - the earth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narval        - the narwhal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pañuelo       - the tissue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payaso        - the clown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penguino      - the penguin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pez globo     - the pufferfish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pirámide      - the pyramid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pulpo         - the octopus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puto          - the duck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resultado     - the result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rocino        - the bacon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sol           - the sun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te            - the tea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toronja       - the grapefruit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El trebol        - the clover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abeja         - the bee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almohada      - the pillow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árbol         - the tree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ardilla       - the squirrel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argumento     - the argument (point)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burbuja       - the bubble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calavera      - the skull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carta         - the letter (note)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estrella      - the star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galleta       - the cookie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hoja          - the sheet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langosta      - the lobster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leche         - the milk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lluvia        - the rain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mandarina     - the orange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mano          - the hand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manta         - the blanket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mariposa      - the butterfly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marmota       - the groundhog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murciélago    - the bat (animal)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nieve         - the snow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opinión       - the opinion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pelicula      - the movie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red           - the (inter)net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respuesta     - the answer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sandia        - the watermelon</w:t>
            </w:r>
          </w:p>
          <w:p w:rsidR="00000000" w:rsidDel="00000000" w:rsidP="00000000" w:rsidRDefault="00000000" w:rsidRPr="00000000">
            <w:pPr>
              <w:pBdr/>
              <w:ind w:left="345" w:firstLine="0"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La voz           - the voice</w:t>
            </w:r>
          </w:p>
        </w:tc>
        <w:tc>
          <w:tcPr>
            <w:tcBorders>
              <w:top w:color="ffffff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Adivinar         - to guess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Apuntar          - to note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Bostezar         - to yawn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Buscar           - to look for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Calificar        - to grade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Cambiar          - to change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Cancelar         - to cancel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Cenar            - to eat (dinner)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Cocinar          - to cook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Colorear         - to color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Comparar         - to compare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Contestar        - to answer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Corregir         - to erase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Dejar            - to leave (object)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Desayunar        - to eat (breakfast)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Entregar         - to turn in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Entrevistar      - to interview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Escapar          - to escape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Estornudar       - to sneeze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Existir          - to exist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Experimentar     - to experience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Explorar         - to explore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Festejar         - to party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Grabar           - to record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Improvisar       - to improvise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Inferir          - to infer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Inspirar         - to inspire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212121"/>
                <w:highlight w:val="white"/>
                <w:rtl w:val="0"/>
              </w:rPr>
              <w:t xml:space="preserve">Interpretar</w:t>
            </w: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   - to interpret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Investigar       - to investigate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Levantar         - to lift/raise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Llenar           - to fill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Mezclar          - to mix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Monstrar         - to show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Observar         - to observe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Palear           - to shovel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Participar       - to participate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Pintar           - to paint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Planear          - to think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Platicar         - to chat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Preferir         - to prefer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Progresar        - to progress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Reciclar         - to recycle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Regalar          - to gift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Regresar         - to return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Reiniciar        - to restart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Retrasar         - to delay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Roncar           - to snore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Saldivar         - to greet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Salir            - to leave (person)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Sugerir          - to suggest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Sumar            - to add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Toser            - to cough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Ver              - to see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Volar            - to fly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Votar            - to vote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footerReference r:id="rId5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firstLine="0"/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 (Zachary Kohnen)</w:t>
    </w:r>
  </w:p>
  <w:p w:rsidR="00000000" w:rsidDel="00000000" w:rsidP="00000000" w:rsidRDefault="00000000" w:rsidRPr="00000000">
    <w:pPr>
      <w:pBdr/>
      <w:contextualSpacing w:val="0"/>
      <w:rPr>
        <w:color w:val="b7b7b7"/>
        <w:sz w:val="16"/>
        <w:szCs w:val="16"/>
      </w:rPr>
    </w:pPr>
    <w:r w:rsidDel="00000000" w:rsidR="00000000" w:rsidRPr="00000000">
      <w:rPr>
        <w:color w:val="b7b7b7"/>
        <w:sz w:val="16"/>
        <w:szCs w:val="16"/>
        <w:rtl w:val="0"/>
      </w:rPr>
      <w:t xml:space="preserve">dusterthefirst.github.io/palabras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/>
    </w:tblPr>
    <w:tblStylePr w:type="band1Horz">
      <w:pPr>
        <w:pBdr/>
        <w:contextualSpacing w:val="1"/>
      </w:pPr>
      <w:rPr/>
      <w:tcPr/>
    </w:tblStylePr>
    <w:tblStylePr w:type="band1Vert">
      <w:pPr>
        <w:pBdr/>
        <w:contextualSpacing w:val="1"/>
      </w:pPr>
      <w:rPr/>
      <w:tcPr/>
    </w:tblStylePr>
    <w:tblStylePr w:type="band2Horz">
      <w:pPr>
        <w:pBdr/>
        <w:contextualSpacing w:val="1"/>
      </w:pPr>
      <w:rPr/>
      <w:tcPr/>
    </w:tblStylePr>
    <w:tblStylePr w:type="band2Vert">
      <w:pPr>
        <w:pBdr/>
        <w:contextualSpacing w:val="1"/>
      </w:pPr>
      <w:rPr/>
      <w:tcPr/>
    </w:tblStylePr>
    <w:tblStylePr w:type="firstCol">
      <w:pPr>
        <w:pBdr/>
        <w:contextualSpacing w:val="1"/>
      </w:pPr>
      <w:rPr/>
      <w:tcPr/>
    </w:tblStylePr>
    <w:tblStylePr w:type="firstRow">
      <w:pPr>
        <w:pBdr/>
        <w:contextualSpacing w:val="1"/>
      </w:pPr>
      <w:rPr/>
      <w:tcPr/>
    </w:tblStylePr>
    <w:tblStylePr w:type="lastCol">
      <w:pPr>
        <w:pBdr/>
        <w:contextualSpacing w:val="1"/>
      </w:pPr>
      <w:rPr/>
      <w:tcPr/>
    </w:tblStylePr>
    <w:tblStylePr w:type="lastRow">
      <w:pPr>
        <w:pBdr/>
        <w:contextualSpacing w:val="1"/>
      </w:pPr>
      <w:rPr/>
      <w:tcPr/>
    </w:tblStylePr>
    <w:tblStylePr w:type="neCell">
      <w:pPr>
        <w:pBdr/>
        <w:contextualSpacing w:val="1"/>
      </w:pPr>
      <w:rPr/>
      <w:tcPr/>
    </w:tblStylePr>
    <w:tblStylePr w:type="nwCell">
      <w:pPr>
        <w:pBdr/>
        <w:contextualSpacing w:val="1"/>
      </w:pPr>
      <w:rPr/>
      <w:tcPr/>
    </w:tblStylePr>
    <w:tblStylePr w:type="seCell">
      <w:pPr>
        <w:pBdr/>
        <w:contextualSpacing w:val="1"/>
      </w:pPr>
      <w:rPr/>
      <w:tcPr/>
    </w:tblStylePr>
    <w:tblStylePr w:type="swCell">
      <w:pPr>
        <w:pBdr/>
        <w:contextualSpacing w:val="1"/>
      </w:pPr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