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-126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Las Palabras Del Dia</w:t>
      </w:r>
    </w:p>
    <w:tbl>
      <w:tblPr>
        <w:tblStyle w:val="Table1"/>
        <w:bidiVisual w:val="0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Sustantivos: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ffffff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Verbos:</w:t>
            </w:r>
          </w:p>
        </w:tc>
      </w:tr>
      <w:tr>
        <w:trPr>
          <w:trHeight w:val="11100" w:hRule="atLeast"/>
        </w:trPr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apellido      - the last name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apodo         - the nickname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arcoiris      - the rainbow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audífono      - the headphone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burro         - the donkey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campeón       - the champion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caramelo      - the candy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comentario    - the commentary 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corazón       - the heart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diagrama      - the diagram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diente        - the tooth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dinosaurio    - the dinosaur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dinosaurio    - the dinosaur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dulces        - the candy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encierros     - the bull run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frailecillo   - the puffin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globo         - the balloon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hielo         - the ice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idioma        - the language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laberinto     - the labyrinth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manatí        - the manatee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marcado       - the market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micrófono     - the microphone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mundo         - the earth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narval        - the narwhal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pañuelo       - the tissue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payaso        - the clown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penguino      - the penguin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pez globo     - the pufferfish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pirámide      - the pyramid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pulpo         - the octopus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puto          - the duck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resultado     - the result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rocino        - the bacon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sol           - the sun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te            - the tea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toronja       - the grapefruit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trebol        - the clover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vestido       - the dress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abeja         - the bee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almohada      - the pillow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árbol         - the tree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ardilla       - the squirrel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arena         - the sand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argumento     - the argument (point)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burbuja       - the bubble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calavera      - the skull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camisa        - the shirt (formal)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carta         - the letter (note)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chaqueta      - the jacket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corbata       - the tie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espinillera   - the shin pads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estrella      - the star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galleta       - the cookie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hoja          - the sheet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langosta      - the lobster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leche         - the milk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lluvia        - the rain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mandarina     - the orange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mano          - the hand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manta         - the blanket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mariposa      - the butterfly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marmota       - the groundhog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murciélago    - the bat (animal)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nieve         - the snow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opinión       - the opinion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pelicula      - the movie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planera       - the palm tree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playera       - the T-shirt (informal)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red           - the (inter)net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respuesta     - the answer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ropa          - the clothes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sandia        - the watermelon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Las gafas        - the glasses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traje especial- the space suit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vela          - the candle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voz           - the voice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Por ciento       - percent</w:t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Adivinar         - to guess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Andar            - to walk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Apuntar          - to note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Bostezar         - to yawn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Buscar           - to look for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Calificar        - to grade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Cambiar          - to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Cancelar         - to cancel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Cenar            - to eat (dinner)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Cocinar          - to cook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Colorear         - to color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Comparar         - to compare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Conservar        - to conserve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Contestar        - to answer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Corregir         - to erase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Dejar            - to leave (object)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Desayunar        - to eat (breakfast)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Entender          - to understand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Entregar         - to turn 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Entrevistar      - to interview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Enviar           - to send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Escapar          - to escape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Escoger          - to choose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Estornudar       - to sneeze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Existir          - to exist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Experimentar     - to experience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Explorar         - to explore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Festejar         - to party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Grabar           - to record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Improvisar       - to improvise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Inferir          - to infer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Inspirar         - to inspire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12121"/>
                <w:highlight w:val="white"/>
                <w:rtl w:val="0"/>
              </w:rPr>
              <w:t xml:space="preserve">Interpretar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- to interpret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Investigar       - to investigate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Levantar         - to lift/raise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Llenar           - to fill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Mezclar          - to mix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Monstrar         - to show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Observar         - to observe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Palear           - to shovel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Participar       - to participate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Pintar           - to paint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Planear          - to think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Platicar         - to chat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Preferir         - to prefer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Progresar        - to 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Reciclar         - to recycle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Regalar          - to gift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Regresar         - to return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Reiniciar        - to restart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Respirar         - to breath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Retrasar         - to delay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Roncar           - to snore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Saldivar         - to greet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Salir            - to leave (person)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Sugerir          - to suggest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Sumar            - to add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Tener            - to have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Toser            - to cough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              - to see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Volar            - to fly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Votar            - to vote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firstLine="0"/>
      <w:contextualSpacing w:val="0"/>
      <w:rPr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DusterTheFirst (Zachary Kohnen)</w:t>
    </w:r>
  </w:p>
  <w:p w:rsidR="00000000" w:rsidDel="00000000" w:rsidP="00000000" w:rsidRDefault="00000000" w:rsidRPr="00000000">
    <w:pPr>
      <w:pBdr/>
      <w:contextualSpacing w:val="0"/>
      <w:rPr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dusterthefirst.github.io/palabras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/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