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37.png" ContentType="image/png"/>
  <Override PartName="/word/media/rId53.png" ContentType="image/png"/>
  <Override PartName="/word/media/rId54.png" ContentType="image/png"/>
  <Override PartName="/word/media/rId38.png" ContentType="image/png"/>
  <Override PartName="/word/media/rId40.png" ContentType="image/png"/>
  <Override PartName="/word/media/rId41.png" ContentType="image/png"/>
  <Override PartName="/word/media/rId20.jpg" ContentType="image/jpeg"/>
  <Override PartName="/word/media/rId50.png" ContentType="image/png"/>
  <Override PartName="/word/media/rId60.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4.png" ContentType="image/png"/>
  <Override PartName="/word/media/rId45.png" ContentType="image/png"/>
  <Override PartName="/word/media/rId47.png" ContentType="image/png"/>
  <Override PartName="/word/media/rId48.png" ContentType="image/png"/>
  <Override PartName="/word/media/rId77.png" ContentType="image/png"/>
  <Override PartName="/word/media/rId63.png" ContentType="image/png"/>
  <Override PartName="/word/media/rId58.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DAY</w:t>
      </w:r>
      <w:r>
        <w:t xml:space="preserve"> </w:t>
      </w:r>
      <w:r>
        <w:t xml:space="preserve">Project</w:t>
      </w:r>
    </w:p>
    <w:p>
      <w:pPr>
        <w:pStyle w:val="Author"/>
      </w:pPr>
      <w:r>
        <w:t xml:space="preserve">Dustin</w:t>
      </w:r>
      <w:r>
        <w:t xml:space="preserve"> </w:t>
      </w:r>
      <w:r>
        <w:t xml:space="preserve">Bracy,</w:t>
      </w:r>
      <w:r>
        <w:t xml:space="preserve"> </w:t>
      </w:r>
      <w:r>
        <w:t xml:space="preserve">Adam</w:t>
      </w:r>
      <w:r>
        <w:t xml:space="preserve"> </w:t>
      </w:r>
      <w:r>
        <w:t xml:space="preserve">Ruthford,</w:t>
      </w:r>
      <w:r>
        <w:t xml:space="preserve"> </w:t>
      </w:r>
      <w:r>
        <w:t xml:space="preserve">Yang</w:t>
      </w:r>
      <w:r>
        <w:t xml:space="preserve"> </w:t>
      </w:r>
      <w:r>
        <w:t xml:space="preserve">Zhang</w:t>
      </w:r>
    </w:p>
    <w:p>
      <w:pPr>
        <w:pStyle w:val="Date"/>
      </w:pPr>
      <w:r>
        <w:t xml:space="preserve">1/23/2020</w:t>
      </w:r>
    </w:p>
    <w:p>
      <w:pPr>
        <w:pStyle w:val="Heading5"/>
      </w:pPr>
      <w:bookmarkStart w:id="21" w:name="name"/>
      <w:r>
        <w:drawing>
          <wp:inline>
            <wp:extent cx="6334125" cy="5619750"/>
            <wp:effectExtent b="0" l="0" r="0" t="0"/>
            <wp:docPr descr="name" title="" id="1" name="Picture"/>
            <a:graphic>
              <a:graphicData uri="http://schemas.openxmlformats.org/drawingml/2006/picture">
                <pic:pic>
                  <pic:nvPicPr>
                    <pic:cNvPr descr="./img/reportLogo.jpg" id="0" name="Picture"/>
                    <pic:cNvPicPr>
                      <a:picLocks noChangeArrowheads="1" noChangeAspect="1"/>
                    </pic:cNvPicPr>
                  </pic:nvPicPr>
                  <pic:blipFill>
                    <a:blip r:embed="rId20"/>
                    <a:stretch>
                      <a:fillRect/>
                    </a:stretch>
                  </pic:blipFill>
                  <pic:spPr bwMode="auto">
                    <a:xfrm>
                      <a:off x="0" y="0"/>
                      <a:ext cx="6334125" cy="5619750"/>
                    </a:xfrm>
                    <a:prstGeom prst="rect">
                      <a:avLst/>
                    </a:prstGeom>
                    <a:noFill/>
                    <a:ln w="9525">
                      <a:noFill/>
                      <a:headEnd/>
                      <a:tailEnd/>
                    </a:ln>
                  </pic:spPr>
                </pic:pic>
              </a:graphicData>
            </a:graphic>
          </wp:inline>
        </w:drawing>
      </w:r>
      <w:bookmarkEnd w:id="21"/>
    </w:p>
    <w:p>
      <w:pPr>
        <w:pStyle w:val="Heading1"/>
      </w:pPr>
      <w:bookmarkStart w:id="22" w:name="introduction"/>
      <w:r>
        <w:t xml:space="preserve">Introduction</w:t>
      </w:r>
      <w:bookmarkEnd w:id="22"/>
    </w:p>
    <w:p>
      <w:pPr>
        <w:pStyle w:val="FirstParagraph"/>
      </w:pPr>
      <w:r>
        <w:t xml:space="preserve">Gilsbar offers a comprehensive reporting package to both its internal employees and external clients. As our user base has grown over the last several years, we have seen an increased demand for reports and consequent load on report servers. Report run times vary significantly, sometimes reports are returned in minutes, and in the worst case: hours. In order to mitigate server load and improve report response time, we would like to better understand factors affecting delivery time, as well as to be able to provide our users an estimated delivery time of reports. We would like to answer the following questions about our data:</w:t>
      </w:r>
    </w:p>
    <w:p>
      <w:pPr>
        <w:pStyle w:val="Compact"/>
        <w:numPr>
          <w:numId w:val="1001"/>
          <w:ilvl w:val="0"/>
        </w:numPr>
      </w:pPr>
      <w:r>
        <w:t xml:space="preserve">What is the expected average delivery time of a new report?</w:t>
      </w:r>
    </w:p>
    <w:p>
      <w:pPr>
        <w:pStyle w:val="Compact"/>
        <w:numPr>
          <w:numId w:val="1001"/>
          <w:ilvl w:val="0"/>
        </w:numPr>
      </w:pPr>
      <w:r>
        <w:t xml:space="preserve">What are the best &amp; worst times of day, week, or month to run a report?</w:t>
      </w:r>
    </w:p>
    <w:p>
      <w:pPr>
        <w:pStyle w:val="Compact"/>
        <w:numPr>
          <w:numId w:val="1001"/>
          <w:ilvl w:val="0"/>
        </w:numPr>
      </w:pPr>
      <w:r>
        <w:t xml:space="preserve">Is there a difference in performance between report servers?</w:t>
      </w:r>
    </w:p>
    <w:p>
      <w:pPr>
        <w:pStyle w:val="Compact"/>
        <w:numPr>
          <w:numId w:val="1001"/>
          <w:ilvl w:val="0"/>
        </w:numPr>
      </w:pPr>
      <w:r>
        <w:t xml:space="preserve">What are the biggest impacts on performance of reports?</w:t>
      </w:r>
    </w:p>
    <w:p>
      <w:pPr>
        <w:pStyle w:val="Heading2"/>
      </w:pPr>
      <w:bookmarkStart w:id="23" w:name="data-description"/>
      <w:r>
        <w:t xml:space="preserve">Data Description</w:t>
      </w:r>
      <w:bookmarkEnd w:id="23"/>
    </w:p>
    <w:p>
      <w:pPr>
        <w:pStyle w:val="FirstParagraph"/>
      </w:pPr>
      <w:r>
        <w:t xml:space="preserve">Gilsbar has provided report data spanning a 12 month period from January 2019 through January 2020. The available parameter list is very large, having over 500 parameters used in the past year. In order to narrow the scope of the project, we focused on completed reports only, and determined the parameters show below would be most useful in predicting report run time. A description of other, non-utilized fields is available below in the appendix. Also listed there is a crosswalk provided which groups like-type reports into 11 categories.</w:t>
      </w:r>
    </w:p>
    <w:p>
      <w:pPr>
        <w:pStyle w:val="Heading2"/>
      </w:pPr>
      <w:bookmarkStart w:id="24" w:name="approach-methodology"/>
      <w:r>
        <w:t xml:space="preserve">Approach Methodology</w:t>
      </w:r>
      <w:bookmarkEnd w:id="24"/>
    </w:p>
    <w:p>
      <w:pPr>
        <w:pStyle w:val="FirstParagraph"/>
      </w:pPr>
      <w:r>
        <w:t xml:space="preserve">We’d like to tackle these questions using two separate models for interpretation. For our first objective, we use Multiple Linear Regression techniques to predict run-time using several of the report metrics and features. As our second objective, we will utilize two-way ANOVA techniques to compare ReportDeliveryTime vs Server, Report Category, and Report Format.</w:t>
      </w:r>
    </w:p>
    <w:p>
      <w:pPr>
        <w:pStyle w:val="Heading1"/>
      </w:pPr>
      <w:bookmarkStart w:id="25" w:name="exploratory-data-analysis"/>
      <w:r>
        <w:t xml:space="preserve">Exploratory Data Analysis</w:t>
      </w:r>
      <w:bookmarkEnd w:id="25"/>
    </w:p>
    <w:p>
      <w:pPr>
        <w:pStyle w:val="FirstParagraph"/>
      </w:pPr>
      <w:r>
        <w:t xml:space="preserve">Our EDA analysis revealed that there are several categorical variables that don’t show an apparent linear relationship with ReportDeliveryTime. Also, we found that our response variable, ReportDeliveryTime, is heavily right skewed and likely needs a log transformation in order to continue analysis.</w:t>
      </w:r>
    </w:p>
    <w:p>
      <w:pPr>
        <w:pStyle w:val="BodyText"/>
      </w:pPr>
      <w:r>
        <w:t xml:space="preserve">Given some additional knowledge of the data-set, we learned that only three production servers are useful for prediction (SQLODR2, SQLODR3 and SQLODR6) and that the ReportID (Specific Report) may be related to ReportBuildTime. To explore this, we converted the ReportID to factors and conducted simple linear regression, giving us an R^2 of 0.79 which is very good, however the ReportID has over 1500 factor levels which make the explanation difficult when introducing additional features, so we continued to explore other features and temporarily ignore ReportID.</w:t>
      </w:r>
    </w:p>
    <w:p>
      <w:pPr>
        <w:pStyle w:val="BodyText"/>
      </w:pPr>
      <w:r>
        <w:t xml:space="preserve">Our EDA resulted in the following additional observations:</w:t>
      </w:r>
    </w:p>
    <w:p>
      <w:pPr>
        <w:pStyle w:val="Compact"/>
        <w:numPr>
          <w:numId w:val="1002"/>
          <w:ilvl w:val="0"/>
        </w:numPr>
      </w:pPr>
      <w:r>
        <w:t xml:space="preserve">Submission times are most often 6am, with 9am and 6pm as secondary peak times.</w:t>
      </w:r>
    </w:p>
    <w:p>
      <w:pPr>
        <w:pStyle w:val="Compact"/>
        <w:numPr>
          <w:numId w:val="1002"/>
          <w:ilvl w:val="0"/>
        </w:numPr>
      </w:pPr>
      <w:r>
        <w:t xml:space="preserve">The first day of Month is peak report day</w:t>
      </w:r>
    </w:p>
    <w:p>
      <w:pPr>
        <w:pStyle w:val="Compact"/>
        <w:numPr>
          <w:numId w:val="1002"/>
          <w:ilvl w:val="0"/>
        </w:numPr>
      </w:pPr>
      <w:r>
        <w:t xml:space="preserve">Scheduled frequencies occur more often by Weekly, One-time, Monthly respectively.</w:t>
      </w:r>
    </w:p>
    <w:p>
      <w:pPr>
        <w:pStyle w:val="Compact"/>
        <w:numPr>
          <w:numId w:val="1002"/>
          <w:ilvl w:val="0"/>
        </w:numPr>
      </w:pPr>
      <w:r>
        <w:t xml:space="preserve">Reinsurance reports grossly exceed delivery times of all other reports, PL reports deliver fastest.</w:t>
      </w:r>
    </w:p>
    <w:p>
      <w:pPr>
        <w:pStyle w:val="Compact"/>
        <w:numPr>
          <w:numId w:val="1002"/>
          <w:ilvl w:val="0"/>
        </w:numPr>
      </w:pPr>
      <w:r>
        <w:t xml:space="preserve">Extract reports take the longest for servers to build, with miscellaneous building quickest.</w:t>
      </w:r>
    </w:p>
    <w:p>
      <w:pPr>
        <w:pStyle w:val="Compact"/>
        <w:numPr>
          <w:numId w:val="1002"/>
          <w:ilvl w:val="0"/>
        </w:numPr>
      </w:pPr>
      <w:r>
        <w:t xml:space="preserve">Finance/Billing and Eligibility reports outnumber others, and PL reports are run the least.(Note: PL Category is newest, so does not contain a full year worth of data).</w:t>
      </w:r>
    </w:p>
    <w:p>
      <w:pPr>
        <w:pStyle w:val="Compact"/>
        <w:numPr>
          <w:numId w:val="1002"/>
          <w:ilvl w:val="0"/>
        </w:numPr>
      </w:pPr>
      <w:r>
        <w:t xml:space="preserve">Most reports utilize Delivery Method: Web.</w:t>
      </w:r>
    </w:p>
    <w:p>
      <w:pPr>
        <w:pStyle w:val="Compact"/>
        <w:numPr>
          <w:numId w:val="1002"/>
          <w:ilvl w:val="0"/>
        </w:numPr>
      </w:pPr>
      <w:r>
        <w:t xml:space="preserve">Production reports far outnumber test reports.</w:t>
      </w:r>
    </w:p>
    <w:p>
      <w:pPr>
        <w:pStyle w:val="Compact"/>
        <w:numPr>
          <w:numId w:val="1002"/>
          <w:ilvl w:val="0"/>
        </w:numPr>
      </w:pPr>
      <w:r>
        <w:t xml:space="preserve">3 Servers processed most reports are SQLODR2, SQLODR3, SQLODR6.</w:t>
      </w:r>
    </w:p>
    <w:p>
      <w:pPr>
        <w:pStyle w:val="Compact"/>
        <w:numPr>
          <w:numId w:val="1002"/>
          <w:ilvl w:val="0"/>
        </w:numPr>
      </w:pPr>
      <w:r>
        <w:t xml:space="preserve">SQLODR2, SQLODR3, and SQLODR6 are all marked as production, while the others are marked as test.</w:t>
      </w:r>
    </w:p>
    <w:p>
      <w:pPr>
        <w:pStyle w:val="Compact"/>
        <w:numPr>
          <w:numId w:val="1002"/>
          <w:ilvl w:val="0"/>
        </w:numPr>
      </w:pPr>
      <w:r>
        <w:t xml:space="preserve">Popular Report formats are CSV/PDF followed by TXT/EXCEL.</w:t>
      </w:r>
    </w:p>
    <w:p>
      <w:pPr>
        <w:pStyle w:val="Compact"/>
        <w:numPr>
          <w:numId w:val="1002"/>
          <w:ilvl w:val="0"/>
        </w:numPr>
      </w:pPr>
      <w:r>
        <w:t xml:space="preserve">Reports are generated more on WeekDays with most occurring on Monday/Tuesday.</w:t>
      </w:r>
    </w:p>
    <w:p>
      <w:pPr>
        <w:pStyle w:val="Compact"/>
        <w:numPr>
          <w:numId w:val="1002"/>
          <w:ilvl w:val="0"/>
        </w:numPr>
      </w:pPr>
      <w:r>
        <w:t xml:space="preserve">Priorities only have 0.1, 2, 3, and 10, with 10 as the majority.</w:t>
      </w:r>
    </w:p>
    <w:p>
      <w:pPr>
        <w:pStyle w:val="Compact"/>
        <w:numPr>
          <w:numId w:val="1002"/>
          <w:ilvl w:val="0"/>
        </w:numPr>
      </w:pPr>
      <w:r>
        <w:t xml:space="preserve">SQLODR3 processes less reports than SQLODR2 or SQLODR6, and also appears to have a longer mean build time (i.e. worse performance) than the other two production servers.</w:t>
      </w:r>
    </w:p>
    <w:p>
      <w:pPr>
        <w:pStyle w:val="FirstParagraph"/>
      </w:pPr>
      <w:r>
        <w:drawing>
          <wp:inline>
            <wp:extent cx="6699183" cy="4158113"/>
            <wp:effectExtent b="0" l="0" r="0" t="0"/>
            <wp:docPr descr="" title="" id="1" name="Picture"/>
            <a:graphic>
              <a:graphicData uri="http://schemas.openxmlformats.org/drawingml/2006/picture">
                <pic:pic>
                  <pic:nvPicPr>
                    <pic:cNvPr descr="index_files/figure-docx/EDA%20plots-1.png" id="0" name="Picture"/>
                    <pic:cNvPicPr>
                      <a:picLocks noChangeArrowheads="1" noChangeAspect="1"/>
                    </pic:cNvPicPr>
                  </pic:nvPicPr>
                  <pic:blipFill>
                    <a:blip r:embed="rId26"/>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2.png" id="0" name="Picture"/>
                    <pic:cNvPicPr>
                      <a:picLocks noChangeArrowheads="1" noChangeAspect="1"/>
                    </pic:cNvPicPr>
                  </pic:nvPicPr>
                  <pic:blipFill>
                    <a:blip r:embed="rId27"/>
                    <a:stretch>
                      <a:fillRect/>
                    </a:stretch>
                  </pic:blipFill>
                  <pic:spPr bwMode="auto">
                    <a:xfrm>
                      <a:off x="0" y="0"/>
                      <a:ext cx="6699183" cy="4158113"/>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6699183" cy="4158113"/>
            <wp:effectExtent b="0" l="0" r="0" t="0"/>
            <wp:docPr descr="" title="" id="1" name="Picture"/>
            <a:graphic>
              <a:graphicData uri="http://schemas.openxmlformats.org/drawingml/2006/picture">
                <pic:pic>
                  <pic:nvPicPr>
                    <pic:cNvPr descr="index_files/figure-docx/EDA%20plots-3.png" id="0" name="Picture"/>
                    <pic:cNvPicPr>
                      <a:picLocks noChangeArrowheads="1" noChangeAspect="1"/>
                    </pic:cNvPicPr>
                  </pic:nvPicPr>
                  <pic:blipFill>
                    <a:blip r:embed="rId28"/>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4.png" id="0" name="Picture"/>
                    <pic:cNvPicPr>
                      <a:picLocks noChangeArrowheads="1" noChangeAspect="1"/>
                    </pic:cNvPicPr>
                  </pic:nvPicPr>
                  <pic:blipFill>
                    <a:blip r:embed="rId29"/>
                    <a:stretch>
                      <a:fillRect/>
                    </a:stretch>
                  </pic:blipFill>
                  <pic:spPr bwMode="auto">
                    <a:xfrm>
                      <a:off x="0" y="0"/>
                      <a:ext cx="6699183" cy="4158113"/>
                    </a:xfrm>
                    <a:prstGeom prst="rect">
                      <a:avLst/>
                    </a:prstGeom>
                    <a:noFill/>
                    <a:ln w="9525">
                      <a:noFill/>
                      <a:headEnd/>
                      <a:tailEnd/>
                    </a:ln>
                  </pic:spPr>
                </pic:pic>
              </a:graphicData>
            </a:graphic>
          </wp:inline>
        </w:drawing>
      </w:r>
    </w:p>
    <w:p>
      <w:pPr>
        <w:pStyle w:val="BodyText"/>
      </w:pPr>
      <w:r>
        <w:drawing>
          <wp:inline>
            <wp:extent cx="6699183" cy="6699183"/>
            <wp:effectExtent b="0" l="0" r="0" t="0"/>
            <wp:docPr descr="" title="" id="1" name="Picture"/>
            <a:graphic>
              <a:graphicData uri="http://schemas.openxmlformats.org/drawingml/2006/picture">
                <pic:pic>
                  <pic:nvPicPr>
                    <pic:cNvPr descr="index_files/figure-docx/EDA%20plots2-1.png" id="0" name="Picture"/>
                    <pic:cNvPicPr>
                      <a:picLocks noChangeArrowheads="1" noChangeAspect="1"/>
                    </pic:cNvPicPr>
                  </pic:nvPicPr>
                  <pic:blipFill>
                    <a:blip r:embed="rId30"/>
                    <a:stretch>
                      <a:fillRect/>
                    </a:stretch>
                  </pic:blipFill>
                  <pic:spPr bwMode="auto">
                    <a:xfrm>
                      <a:off x="0" y="0"/>
                      <a:ext cx="6699183" cy="6699183"/>
                    </a:xfrm>
                    <a:prstGeom prst="rect">
                      <a:avLst/>
                    </a:prstGeom>
                    <a:noFill/>
                    <a:ln w="9525">
                      <a:noFill/>
                      <a:headEnd/>
                      <a:tailEnd/>
                    </a:ln>
                  </pic:spPr>
                </pic:pic>
              </a:graphicData>
            </a:graphic>
          </wp:inline>
        </w:drawing>
      </w:r>
      <w:r>
        <w:drawing>
          <wp:inline>
            <wp:extent cx="6699183" cy="6699183"/>
            <wp:effectExtent b="0" l="0" r="0" t="0"/>
            <wp:docPr descr="" title="" id="1" name="Picture"/>
            <a:graphic>
              <a:graphicData uri="http://schemas.openxmlformats.org/drawingml/2006/picture">
                <pic:pic>
                  <pic:nvPicPr>
                    <pic:cNvPr descr="index_files/figure-docx/EDA%20plots2-2.png" id="0" name="Picture"/>
                    <pic:cNvPicPr>
                      <a:picLocks noChangeArrowheads="1" noChangeAspect="1"/>
                    </pic:cNvPicPr>
                  </pic:nvPicPr>
                  <pic:blipFill>
                    <a:blip r:embed="rId31"/>
                    <a:stretch>
                      <a:fillRect/>
                    </a:stretch>
                  </pic:blipFill>
                  <pic:spPr bwMode="auto">
                    <a:xfrm>
                      <a:off x="0" y="0"/>
                      <a:ext cx="6699183" cy="6699183"/>
                    </a:xfrm>
                    <a:prstGeom prst="rect">
                      <a:avLst/>
                    </a:prstGeom>
                    <a:noFill/>
                    <a:ln w="9525">
                      <a:noFill/>
                      <a:headEnd/>
                      <a:tailEnd/>
                    </a:ln>
                  </pic:spPr>
                </pic:pic>
              </a:graphicData>
            </a:graphic>
          </wp:inline>
        </w:drawing>
      </w:r>
    </w:p>
    <w:p>
      <w:pPr>
        <w:pStyle w:val="Heading1"/>
      </w:pPr>
      <w:bookmarkStart w:id="32" w:name="objective-1"/>
      <w:r>
        <w:t xml:space="preserve">Objective 1</w:t>
      </w:r>
      <w:bookmarkEnd w:id="32"/>
    </w:p>
    <w:p>
      <w:pPr>
        <w:pStyle w:val="FirstParagraph"/>
      </w:pPr>
      <w:r>
        <w:rPr>
          <w:b/>
        </w:rPr>
        <w:t xml:space="preserve">Using known parameters of a desired report, can we predict how long it will take to run a particular type of report?</w:t>
      </w:r>
    </w:p>
    <w:p>
      <w:pPr>
        <w:pStyle w:val="BodyText"/>
      </w:pPr>
      <w:r>
        <w:t xml:space="preserve">We have found it best to use all parameters made available to us within the transformed</w:t>
      </w:r>
      <w:r>
        <w:t xml:space="preserve"> </w:t>
      </w:r>
      <w:r>
        <w:t xml:space="preserve">‘</w:t>
      </w:r>
      <w:r>
        <w:t xml:space="preserve">reports</w:t>
      </w:r>
      <w:r>
        <w:t xml:space="preserve">’</w:t>
      </w:r>
      <w:r>
        <w:t xml:space="preserve"> </w:t>
      </w:r>
      <w:r>
        <w:t xml:space="preserve">data-set to fit the response variable</w:t>
      </w:r>
      <w:r>
        <w:t xml:space="preserve"> </w:t>
      </w:r>
      <w:r>
        <w:t xml:space="preserve">“</w:t>
      </w:r>
      <w:r>
        <w:t xml:space="preserve">ReportDeliveryTime.</w:t>
      </w:r>
      <w:r>
        <w:t xml:space="preserve">”</w:t>
      </w:r>
      <w:r>
        <w:t xml:space="preserve"> </w:t>
      </w:r>
      <w:r>
        <w:t xml:space="preserve">Within the report, intuition tells us a few key parameters contribute strongly to the delivery time. For example: ReportBuildTime, QueueTime, LagTime and ReportBytes, cannot be used because they are all unknown before report completion.</w:t>
      </w:r>
    </w:p>
    <w:p>
      <w:pPr>
        <w:pStyle w:val="Heading2"/>
      </w:pPr>
      <w:bookmarkStart w:id="33" w:name="simple-linear-regression-model"/>
      <w:r>
        <w:t xml:space="preserve">Simple Linear Regression Model</w:t>
      </w:r>
      <w:bookmarkEnd w:id="33"/>
    </w:p>
    <w:p>
      <w:pPr>
        <w:pStyle w:val="FirstParagraph"/>
      </w:pPr>
      <w:r>
        <w:t xml:space="preserve">Looking at ReportBuildTime vs ReportId gives us the best</w:t>
      </w:r>
      <w:r>
        <w:t xml:space="preserve"> </w:t>
      </w:r>
      <m:oMath>
        <m:sSup>
          <m:e>
            <m:r>
              <m:t>R</m:t>
            </m:r>
          </m:e>
          <m:sup>
            <m:r>
              <m:t>2</m:t>
            </m:r>
          </m:sup>
        </m:sSup>
      </m:oMath>
      <w:r>
        <w:t xml:space="preserve"> </w:t>
      </w:r>
      <w:r>
        <w:t xml:space="preserve">at approximately .79 and a 2.83s RMSE. ReportDeliveryTime vs ReportId gives us an acceptable</w:t>
      </w:r>
      <w:r>
        <w:t xml:space="preserve"> </w:t>
      </w:r>
      <m:oMath>
        <m:sSup>
          <m:e>
            <m:r>
              <m:t>R</m:t>
            </m:r>
          </m:e>
          <m:sup>
            <m:r>
              <m:t>2</m:t>
            </m:r>
          </m:sup>
        </m:sSup>
      </m:oMath>
      <w:r>
        <w:t xml:space="preserve"> </w:t>
      </w:r>
      <w:r>
        <w:t xml:space="preserve">of about .49 and a 4.5s RMSE. This performance is acceptable, but becomes very difficult to explain when adding additional features due to the large number of reports (over 1,000). Thus, we will attempt to answer a broader question: given a report group how long should I expect to wait?</w:t>
      </w:r>
    </w:p>
    <w:p>
      <w:pPr>
        <w:pStyle w:val="Heading2"/>
      </w:pPr>
      <w:bookmarkStart w:id="34" w:name="multiple-linear-regression-subset"/>
      <w:r>
        <w:t xml:space="preserve">Multiple Linear Regression subset</w:t>
      </w:r>
      <w:bookmarkEnd w:id="34"/>
    </w:p>
    <w:p>
      <w:pPr>
        <w:pStyle w:val="FirstParagraph"/>
      </w:pPr>
      <w:r>
        <w:t xml:space="preserve">Because the amount of data is very large and we didn’t find a dependency of ReportID with ReportDeliveryTime, we chose a single type of report</w:t>
      </w:r>
      <w:r>
        <w:t xml:space="preserve"> </w:t>
      </w:r>
      <w:r>
        <w:t xml:space="preserve">“</w:t>
      </w:r>
      <w:r>
        <w:t xml:space="preserve">ReportID=93</w:t>
      </w:r>
      <w:r>
        <w:t xml:space="preserve">”</w:t>
      </w:r>
      <w:r>
        <w:t xml:space="preserve">, which is roughly 1/10 of the overall data-set as a representative subset and used it for the remaining analysis.</w:t>
      </w:r>
    </w:p>
    <w:p>
      <w:pPr>
        <w:pStyle w:val="BodyText"/>
      </w:pPr>
      <w:r>
        <w:t xml:space="preserve">With this subset, we filtered out a few more parameters and left 10 parameters: Server, ReportCategory, SchedFreq, HourOfDay, DayOfMonth, ReportCategory,Server, AgentCount, GroupCount,DelivMethod.</w:t>
      </w:r>
    </w:p>
    <w:p>
      <w:pPr>
        <w:pStyle w:val="BodyText"/>
      </w:pPr>
      <w:r>
        <w:t xml:space="preserve">First we did a fit with all parameters and get a resulted</w:t>
      </w:r>
      <w:r>
        <w:t xml:space="preserve"> </w:t>
      </w:r>
      <m:oMath>
        <m:sSup>
          <m:e>
            <m:r>
              <m:t>R</m:t>
            </m:r>
          </m:e>
          <m:sup>
            <m:r>
              <m:t>2</m:t>
            </m:r>
          </m:sup>
        </m:sSup>
      </m:oMath>
      <w:r>
        <w:t xml:space="preserve"> </w:t>
      </w:r>
      <w:r>
        <w:t xml:space="preserve">of 0.54, which is not too bad, but is quite difficult to explain.</w:t>
      </w:r>
    </w:p>
    <w:p>
      <w:pPr>
        <w:pStyle w:val="BodyText"/>
      </w:pPr>
      <w:r>
        <w:t xml:space="preserve">Ultimately after using several feature selection methodologies, we discovered that using all 30 features nets an</w:t>
      </w:r>
      <w:r>
        <w:t xml:space="preserve"> </w:t>
      </w:r>
      <m:oMath>
        <m:sSup>
          <m:e>
            <m:r>
              <m:t>R</m:t>
            </m:r>
          </m:e>
          <m:sup>
            <m:r>
              <m:t>2</m:t>
            </m:r>
          </m:sup>
        </m:sSup>
      </m:oMath>
      <w:r>
        <w:t xml:space="preserve"> </w:t>
      </w:r>
      <w:r>
        <w:t xml:space="preserve">of 0.54, while using just 5 of the most statistically significant features results in an</w:t>
      </w:r>
      <w:r>
        <w:t xml:space="preserve"> </w:t>
      </w:r>
      <m:oMath>
        <m:sSup>
          <m:e>
            <m:r>
              <m:t>R</m:t>
            </m:r>
          </m:e>
          <m:sup>
            <m:r>
              <m:t>2</m:t>
            </m:r>
          </m:sup>
        </m:sSup>
      </m:oMath>
      <w:r>
        <w:t xml:space="preserve"> </w:t>
      </w:r>
      <w:r>
        <w:t xml:space="preserve">of 0.52.</w:t>
      </w:r>
    </w:p>
    <w:p>
      <w:pPr>
        <w:pStyle w:val="Heading3"/>
      </w:pPr>
      <w:bookmarkStart w:id="35" w:name="checking-assumptions"/>
      <w:r>
        <w:t xml:space="preserve">Checking Assumptions</w:t>
      </w:r>
      <w:bookmarkEnd w:id="35"/>
    </w:p>
    <w:p>
      <w:pPr>
        <w:pStyle w:val="FirstParagraph"/>
      </w:pPr>
      <w:r>
        <w:t xml:space="preserve">Linear Regression analysis has basic assumptions of residual normality, linearity of features, constant variance (equal spread), and independence of observations.</w:t>
      </w:r>
    </w:p>
    <w:p>
      <w:pPr>
        <w:pStyle w:val="BodyText"/>
      </w:pPr>
      <w:r>
        <w:t xml:space="preserve">The q-q plot below (and previous histogram) shows that the assumption of normality has much improved after log transforming our response variable. We confirmed this to be correct by fitting the final model after log transformation.</w:t>
      </w:r>
    </w:p>
    <w:p>
      <w:pPr>
        <w:pStyle w:val="BodyText"/>
      </w:pPr>
      <w:r>
        <w:t xml:space="preserve">After transformation we observed the q-q plot to exhibit qualities indicating the data is more normal: ideally we want a mostly straight line following closely to the residual 0 line.</w:t>
      </w:r>
    </w:p>
    <w:p>
      <w:pPr>
        <w:pStyle w:val="Compact"/>
        <w:numPr>
          <w:numId w:val="1003"/>
          <w:ilvl w:val="0"/>
        </w:numPr>
      </w:pPr>
      <w:r>
        <w:t xml:space="preserve">QQ Plot shows a slight departure from normality</w:t>
      </w:r>
    </w:p>
    <w:p>
      <w:pPr>
        <w:pStyle w:val="Compact"/>
        <w:numPr>
          <w:numId w:val="1003"/>
          <w:ilvl w:val="0"/>
        </w:numPr>
      </w:pPr>
      <w:r>
        <w:t xml:space="preserve">Cook’s D shows no major leverage points (.003)</w:t>
      </w:r>
    </w:p>
    <w:p>
      <w:pPr>
        <w:pStyle w:val="Compact"/>
        <w:numPr>
          <w:numId w:val="1003"/>
          <w:ilvl w:val="0"/>
        </w:numPr>
      </w:pPr>
      <w:r>
        <w:t xml:space="preserve">There are a few outliers with leverage in the sample selection, but not as much in the full data</w:t>
      </w:r>
    </w:p>
    <w:p>
      <w:pPr>
        <w:pStyle w:val="Compact"/>
        <w:numPr>
          <w:numId w:val="1003"/>
          <w:ilvl w:val="0"/>
        </w:numPr>
      </w:pPr>
      <w:r>
        <w:t xml:space="preserve">Histogram shows normality with a bit of right skew</w:t>
      </w:r>
    </w:p>
    <w:p>
      <w:pPr>
        <w:pStyle w:val="Compact"/>
        <w:numPr>
          <w:numId w:val="1003"/>
          <w:ilvl w:val="0"/>
        </w:numPr>
      </w:pPr>
      <w:r>
        <w:t xml:space="preserve">Ideally we’d like to see a totally random cloud in the fitted vs residuals</w:t>
      </w:r>
    </w:p>
    <w:p>
      <w:pPr>
        <w:pStyle w:val="Compact"/>
        <w:numPr>
          <w:numId w:val="1003"/>
          <w:ilvl w:val="0"/>
        </w:numPr>
      </w:pPr>
      <w:r>
        <w:t xml:space="preserve">The outliers are impacting predictions fairly significantly as can be seen by the leverage chart</w:t>
      </w:r>
    </w:p>
    <w:p>
      <w:pPr>
        <w:pStyle w:val="FirstParagraph"/>
      </w:pPr>
      <w:r>
        <w:drawing>
          <wp:inline>
            <wp:extent cx="2792295" cy="2792295"/>
            <wp:effectExtent b="0" l="0" r="0" t="0"/>
            <wp:docPr descr="QQ Plot shows a slight departure from normality" title="" id="1" name="Picture"/>
            <a:graphic>
              <a:graphicData uri="http://schemas.openxmlformats.org/drawingml/2006/picture">
                <pic:pic>
                  <pic:nvPicPr>
                    <pic:cNvPr descr="./img/QQ.png" id="0" name="Picture"/>
                    <pic:cNvPicPr>
                      <a:picLocks noChangeArrowheads="1" noChangeAspect="1"/>
                    </pic:cNvPicPr>
                  </pic:nvPicPr>
                  <pic:blipFill>
                    <a:blip r:embed="rId36"/>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Cook’s D shows no major leverage points (.003)" title="" id="1" name="Picture"/>
            <a:graphic>
              <a:graphicData uri="http://schemas.openxmlformats.org/drawingml/2006/picture">
                <pic:pic>
                  <pic:nvPicPr>
                    <pic:cNvPr descr="./img/cooksD.png" id="0" name="Picture"/>
                    <pic:cNvPicPr>
                      <a:picLocks noChangeArrowheads="1" noChangeAspect="1"/>
                    </pic:cNvPicPr>
                  </pic:nvPicPr>
                  <pic:blipFill>
                    <a:blip r:embed="rId37"/>
                    <a:stretch>
                      <a:fillRect/>
                    </a:stretch>
                  </pic:blipFill>
                  <pic:spPr bwMode="auto">
                    <a:xfrm>
                      <a:off x="0" y="0"/>
                      <a:ext cx="2792295" cy="2792295"/>
                    </a:xfrm>
                    <a:prstGeom prst="rect">
                      <a:avLst/>
                    </a:prstGeom>
                    <a:noFill/>
                    <a:ln w="9525">
                      <a:noFill/>
                      <a:headEnd/>
                      <a:tailEnd/>
                    </a:ln>
                  </pic:spPr>
                </pic:pic>
              </a:graphicData>
            </a:graphic>
          </wp:inline>
        </w:drawing>
      </w:r>
    </w:p>
    <w:p>
      <w:pPr>
        <w:pStyle w:val="BodyText"/>
      </w:pPr>
      <w:r>
        <w:drawing>
          <wp:inline>
            <wp:extent cx="2792295" cy="2792295"/>
            <wp:effectExtent b="0" l="0" r="0" t="0"/>
            <wp:docPr descr="There are a few outliers with leverage in the sample, but not so much in the full data" title="" id="1" name="Picture"/>
            <a:graphic>
              <a:graphicData uri="http://schemas.openxmlformats.org/drawingml/2006/picture">
                <pic:pic>
                  <pic:nvPicPr>
                    <pic:cNvPr descr="./img/fitted.png" id="0" name="Picture"/>
                    <pic:cNvPicPr>
                      <a:picLocks noChangeArrowheads="1" noChangeAspect="1"/>
                    </pic:cNvPicPr>
                  </pic:nvPicPr>
                  <pic:blipFill>
                    <a:blip r:embed="rId38"/>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Ideally we’d like to see a totally random cloud here" title="" id="1" name="Picture"/>
            <a:graphic>
              <a:graphicData uri="http://schemas.openxmlformats.org/drawingml/2006/picture">
                <pic:pic>
                  <pic:nvPicPr>
                    <pic:cNvPr descr="./img/actVSfit.png" id="0" name="Picture"/>
                    <pic:cNvPicPr>
                      <a:picLocks noChangeArrowheads="1" noChangeAspect="1"/>
                    </pic:cNvPicPr>
                  </pic:nvPicPr>
                  <pic:blipFill>
                    <a:blip r:embed="rId39"/>
                    <a:stretch>
                      <a:fillRect/>
                    </a:stretch>
                  </pic:blipFill>
                  <pic:spPr bwMode="auto">
                    <a:xfrm>
                      <a:off x="0" y="0"/>
                      <a:ext cx="2792295" cy="2792295"/>
                    </a:xfrm>
                    <a:prstGeom prst="rect">
                      <a:avLst/>
                    </a:prstGeom>
                    <a:noFill/>
                    <a:ln w="9525">
                      <a:noFill/>
                      <a:headEnd/>
                      <a:tailEnd/>
                    </a:ln>
                  </pic:spPr>
                </pic:pic>
              </a:graphicData>
            </a:graphic>
          </wp:inline>
        </w:drawing>
      </w:r>
    </w:p>
    <w:p>
      <w:pPr>
        <w:pStyle w:val="BodyText"/>
      </w:pPr>
      <w:r>
        <w:drawing>
          <wp:inline>
            <wp:extent cx="2792295" cy="2792295"/>
            <wp:effectExtent b="0" l="0" r="0" t="0"/>
            <wp:docPr descr="Histogram shows normality with a bit of right skew" title="" id="1" name="Picture"/>
            <a:graphic>
              <a:graphicData uri="http://schemas.openxmlformats.org/drawingml/2006/picture">
                <pic:pic>
                  <pic:nvPicPr>
                    <pic:cNvPr descr="./img/hist.png" id="0" name="Picture"/>
                    <pic:cNvPicPr>
                      <a:picLocks noChangeArrowheads="1" noChangeAspect="1"/>
                    </pic:cNvPicPr>
                  </pic:nvPicPr>
                  <pic:blipFill>
                    <a:blip r:embed="rId40"/>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These outliers are impacting predictions fairly significantly" title="" id="1" name="Picture"/>
            <a:graphic>
              <a:graphicData uri="http://schemas.openxmlformats.org/drawingml/2006/picture">
                <pic:pic>
                  <pic:nvPicPr>
                    <pic:cNvPr descr="./img/leverage.png" id="0" name="Picture"/>
                    <pic:cNvPicPr>
                      <a:picLocks noChangeArrowheads="1" noChangeAspect="1"/>
                    </pic:cNvPicPr>
                  </pic:nvPicPr>
                  <pic:blipFill>
                    <a:blip r:embed="rId41"/>
                    <a:stretch>
                      <a:fillRect/>
                    </a:stretch>
                  </pic:blipFill>
                  <pic:spPr bwMode="auto">
                    <a:xfrm>
                      <a:off x="0" y="0"/>
                      <a:ext cx="2792295" cy="2792295"/>
                    </a:xfrm>
                    <a:prstGeom prst="rect">
                      <a:avLst/>
                    </a:prstGeom>
                    <a:noFill/>
                    <a:ln w="9525">
                      <a:noFill/>
                      <a:headEnd/>
                      <a:tailEnd/>
                    </a:ln>
                  </pic:spPr>
                </pic:pic>
              </a:graphicData>
            </a:graphic>
          </wp:inline>
        </w:drawing>
      </w:r>
    </w:p>
    <w:p>
      <w:pPr>
        <w:pStyle w:val="Heading3"/>
      </w:pPr>
      <w:bookmarkStart w:id="42" w:name="model-selection"/>
      <w:r>
        <w:t xml:space="preserve">Model Selection</w:t>
      </w:r>
      <w:bookmarkEnd w:id="42"/>
    </w:p>
    <w:p>
      <w:pPr>
        <w:pStyle w:val="Heading4"/>
      </w:pPr>
      <w:bookmarkStart w:id="43" w:name="feature-selection-forward"/>
      <w:r>
        <w:t xml:space="preserve">Feature Selection: Forward</w:t>
      </w:r>
      <w:bookmarkEnd w:id="43"/>
    </w:p>
    <w:p>
      <w:pPr>
        <w:pStyle w:val="FirstParagraph"/>
      </w:pPr>
      <w:r>
        <w:drawing>
          <wp:inline>
            <wp:extent cx="4620126" cy="2772075"/>
            <wp:effectExtent b="0" l="0" r="0" t="0"/>
            <wp:docPr descr="" title="" id="1" name="Picture"/>
            <a:graphic>
              <a:graphicData uri="http://schemas.openxmlformats.org/drawingml/2006/picture">
                <pic:pic>
                  <pic:nvPicPr>
                    <pic:cNvPr descr="index_files/figure-docx/Obj1%20Forward%20Selection-1.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title="" id="1" name="Picture"/>
            <a:graphic>
              <a:graphicData uri="http://schemas.openxmlformats.org/drawingml/2006/picture">
                <pic:pic>
                  <pic:nvPicPr>
                    <pic:cNvPr descr="index_files/figure-docx/Obj1%20Forward%20Selection-3.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46" w:name="feature-selection-stepwise"/>
      <w:r>
        <w:t xml:space="preserve">Feature Selection: Stepwise</w:t>
      </w:r>
      <w:bookmarkEnd w:id="46"/>
    </w:p>
    <w:p>
      <w:pPr>
        <w:pStyle w:val="FirstParagraph"/>
      </w:pPr>
      <w:r>
        <w:drawing>
          <wp:inline>
            <wp:extent cx="4620126" cy="2772075"/>
            <wp:effectExtent b="0" l="0" r="0" t="0"/>
            <wp:docPr descr="" title="" id="1" name="Picture"/>
            <a:graphic>
              <a:graphicData uri="http://schemas.openxmlformats.org/drawingml/2006/picture">
                <pic:pic>
                  <pic:nvPicPr>
                    <pic:cNvPr descr="index_files/figure-docx/Obj1%20Seq%20Rep%20Selection-1.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title="" id="1" name="Picture"/>
            <a:graphic>
              <a:graphicData uri="http://schemas.openxmlformats.org/drawingml/2006/picture">
                <pic:pic>
                  <pic:nvPicPr>
                    <pic:cNvPr descr="index_files/figure-docx/Obj1%20Seq%20Rep%20Selection-3.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49" w:name="final-model-selection"/>
      <w:r>
        <w:t xml:space="preserve">Final Model Selection:</w:t>
      </w:r>
      <w:bookmarkEnd w:id="49"/>
    </w:p>
    <w:p>
      <w:pPr>
        <w:pStyle w:val="FirstParagraph"/>
      </w:pPr>
      <w:r>
        <w:t xml:space="preserve">After the log transformation and re-fitting we get an</w:t>
      </w:r>
      <w:r>
        <w:t xml:space="preserve"> </w:t>
      </w:r>
      <m:oMath>
        <m:sSup>
          <m:e>
            <m:r>
              <m:t>R</m:t>
            </m:r>
          </m:e>
          <m:sup>
            <m:r>
              <m:t>2</m:t>
            </m:r>
          </m:sup>
        </m:sSup>
      </m:oMath>
      <w:r>
        <w:t xml:space="preserve"> </w:t>
      </w:r>
      <w:r>
        <w:t xml:space="preserve">of 0.54! This is good but because we have several features with numerous factor levels, we decided to do a round of feature selection using forward, backward and other criteria.</w:t>
      </w:r>
    </w:p>
    <w:p>
      <w:pPr>
        <w:pStyle w:val="BodyText"/>
      </w:pPr>
      <w:r>
        <w:t xml:space="preserve">Using forward model selection and nvmax=30, we recognized that the BIC, adjusted</w:t>
      </w:r>
      <w:r>
        <w:t xml:space="preserve"> </w:t>
      </w:r>
      <m:oMath>
        <m:sSup>
          <m:e>
            <m:r>
              <m:t>R</m:t>
            </m:r>
          </m:e>
          <m:sup>
            <m:r>
              <m:t>2</m:t>
            </m:r>
          </m:sup>
        </m:sSup>
      </m:oMath>
      <w:r>
        <w:t xml:space="preserve"> </w:t>
      </w:r>
      <w:r>
        <w:t xml:space="preserve">and RSS shown in plot all show a</w:t>
      </w:r>
      <w:r>
        <w:t xml:space="preserve"> </w:t>
      </w:r>
      <w:r>
        <w:t xml:space="preserve">“</w:t>
      </w:r>
      <w:r>
        <w:t xml:space="preserve">plateau</w:t>
      </w:r>
      <w:r>
        <w:t xml:space="preserve">”</w:t>
      </w:r>
      <w:r>
        <w:t xml:space="preserve"> </w:t>
      </w:r>
      <w:r>
        <w:t xml:space="preserve">after roughly 25-30 parameters, indicating that we can get best fit and avoid further overfitting.</w:t>
      </w:r>
    </w:p>
    <w:p>
      <w:pPr>
        <w:pStyle w:val="BodyText"/>
      </w:pPr>
      <w:r>
        <w:t xml:space="preserve">We also tried a stepwise selection process and found that the BIC, adjusted</w:t>
      </w:r>
      <w:r>
        <w:t xml:space="preserve"> </w:t>
      </w:r>
      <m:oMath>
        <m:sSup>
          <m:e>
            <m:r>
              <m:t>R</m:t>
            </m:r>
          </m:e>
          <m:sup>
            <m:r>
              <m:t>2</m:t>
            </m:r>
          </m:sup>
        </m:sSup>
      </m:oMath>
      <w:r>
        <w:t xml:space="preserve"> </w:t>
      </w:r>
      <w:r>
        <w:t xml:space="preserve">and RSS showed a similar trend to forward selection. There are 4 variables that appear to be significant: SchedFreq, HourOfDay, DayOfMonth and ReportCategory. The lowest BIC/RSS is similar to forward selection.</w:t>
      </w:r>
    </w:p>
    <w:p>
      <w:pPr>
        <w:pStyle w:val="BodyText"/>
      </w:pPr>
      <w:r>
        <w:t xml:space="preserve">By checking the coefficients we identified SchedFreqOneTime and SchedFreqWeek to be statistically significant, so we included SchedFreq in the final model. Some variables related to HourOfDay are siginificant, to include them all we include HourOfDay as a variable in the final model. The final selection composes of 5 variables and the model is below:</w:t>
      </w:r>
    </w:p>
    <w:p>
      <w:pPr>
        <w:pStyle w:val="BodyText"/>
      </w:pPr>
      <m:oMathPara>
        <m:oMathParaPr>
          <m:jc m:val="center"/>
        </m:oMathParaPr>
        <m:oMath>
          <m:r>
            <m:t>l</m:t>
          </m:r>
          <m:r>
            <m:t>o</m:t>
          </m:r>
          <m:r>
            <m:t>g</m:t>
          </m:r>
          <m:r>
            <m:t>(</m:t>
          </m:r>
          <m:r>
            <m:t>R</m:t>
          </m:r>
          <m:r>
            <m:t>e</m:t>
          </m:r>
          <m:r>
            <m:t>p</m:t>
          </m:r>
          <m:r>
            <m:t>o</m:t>
          </m:r>
          <m:r>
            <m:t>r</m:t>
          </m:r>
          <m:r>
            <m:t>t</m:t>
          </m:r>
          <m:r>
            <m:t>D</m:t>
          </m:r>
          <m:r>
            <m:t>e</m:t>
          </m:r>
          <m:r>
            <m:t>l</m:t>
          </m:r>
          <m:r>
            <m:t>i</m:t>
          </m:r>
          <m:r>
            <m:t>v</m:t>
          </m:r>
          <m:r>
            <m:t>e</m:t>
          </m:r>
          <m:r>
            <m:t>r</m:t>
          </m:r>
          <m:r>
            <m:t>y</m:t>
          </m:r>
          <m:r>
            <m:t>T</m:t>
          </m:r>
          <m:r>
            <m:t>i</m:t>
          </m:r>
          <m:r>
            <m:t>m</m:t>
          </m:r>
          <m:r>
            <m:t>e</m:t>
          </m:r>
          <m:r>
            <m:t>)</m:t>
          </m:r>
          <m:r>
            <m:t>=</m:t>
          </m:r>
          <m:r>
            <m:t>S</m:t>
          </m:r>
          <m:r>
            <m:t>c</m:t>
          </m:r>
          <m:r>
            <m:t>h</m:t>
          </m:r>
          <m:r>
            <m:t>e</m:t>
          </m:r>
          <m:r>
            <m:t>d</m:t>
          </m:r>
          <m:r>
            <m:t>F</m:t>
          </m:r>
          <m:r>
            <m:t>r</m:t>
          </m:r>
          <m:r>
            <m:t>e</m:t>
          </m:r>
          <m:r>
            <m:t>q</m:t>
          </m:r>
          <m:r>
            <m:t>+</m:t>
          </m:r>
          <m:r>
            <m:t>H</m:t>
          </m:r>
          <m:r>
            <m:t>o</m:t>
          </m:r>
          <m:r>
            <m:t>u</m:t>
          </m:r>
          <m:r>
            <m:t>r</m:t>
          </m:r>
          <m:r>
            <m:t>O</m:t>
          </m:r>
          <m:r>
            <m:t>f</m:t>
          </m:r>
          <m:r>
            <m:t>D</m:t>
          </m:r>
          <m:r>
            <m:t>a</m:t>
          </m:r>
          <m:r>
            <m:t>y</m:t>
          </m:r>
          <m:r>
            <m:t>+</m:t>
          </m:r>
          <m:r>
            <m:t>D</m:t>
          </m:r>
          <m:r>
            <m:t>a</m:t>
          </m:r>
          <m:r>
            <m:t>y</m:t>
          </m:r>
          <m:r>
            <m:t>O</m:t>
          </m:r>
          <m:r>
            <m:t>f</m:t>
          </m:r>
          <m:r>
            <m:t>M</m:t>
          </m:r>
          <m:r>
            <m:t>o</m:t>
          </m:r>
          <m:r>
            <m:t>n</m:t>
          </m:r>
          <m:r>
            <m:t>t</m:t>
          </m:r>
          <m:r>
            <m:t>h</m:t>
          </m:r>
          <m:r>
            <m:t>+</m:t>
          </m:r>
          <m:r>
            <m:t>R</m:t>
          </m:r>
          <m:r>
            <m:t>e</m:t>
          </m:r>
          <m:r>
            <m:t>p</m:t>
          </m:r>
          <m:r>
            <m:t>o</m:t>
          </m:r>
          <m:r>
            <m:t>r</m:t>
          </m:r>
          <m:r>
            <m:t>t</m:t>
          </m:r>
          <m:r>
            <m:t>C</m:t>
          </m:r>
          <m:r>
            <m:t>a</m:t>
          </m:r>
          <m:r>
            <m:t>t</m:t>
          </m:r>
          <m:r>
            <m:t>e</m:t>
          </m:r>
          <m:r>
            <m:t>g</m:t>
          </m:r>
          <m:r>
            <m:t>o</m:t>
          </m:r>
          <m:r>
            <m:t>r</m:t>
          </m:r>
          <m:r>
            <m:t>y</m:t>
          </m:r>
          <m:r>
            <m:t>+</m:t>
          </m:r>
          <m:r>
            <m:t>S</m:t>
          </m:r>
          <m:r>
            <m:t>e</m:t>
          </m:r>
          <m:r>
            <m:t>r</m:t>
          </m:r>
          <m:r>
            <m:t>v</m:t>
          </m:r>
          <m:r>
            <m:t>e</m:t>
          </m:r>
          <m:r>
            <m:t>r</m:t>
          </m:r>
        </m:oMath>
      </m:oMathPara>
    </w:p>
    <w:p>
      <w:pPr>
        <w:pStyle w:val="FirstParagraph"/>
      </w:pPr>
      <w:r>
        <w:t xml:space="preserve">When we initially build our intuitive model we did not split our dataset into train and test portions. We further conduct LASSO, Ridge and Elastic net for model fitting and there’s no fair way to compare the model of all above methods without a train/test experiment.</w:t>
      </w:r>
      <w:r>
        <w:t xml:space="preserve"> </w:t>
      </w:r>
      <w:r>
        <w:t xml:space="preserve">So we perform a roughly 70-30 split on our original dataset to create a train and a test set, then use our train set to fit our optimized linear model and create a prediction vector from our test dataset.</w:t>
      </w:r>
      <w:r>
        <w:t xml:space="preserve"> </w:t>
      </w:r>
      <w:r>
        <w:t xml:space="preserve">Then we can calculate our MSE of this model and compare it to those of forward, stepwise, LASSO, Ridge and Elastic net, we get the result below.</w:t>
      </w:r>
    </w:p>
    <w:p>
      <w:pPr>
        <w:pStyle w:val="BodyText"/>
      </w:pPr>
      <w:r>
        <w:rPr>
          <w:b/>
        </w:rPr>
        <w:t xml:space="preserve">A comparison of Feature Selection methods and their RMSE (lower is better):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r>
      <w:tr>
        <w:tc>
          <w:p>
            <w:pPr>
              <w:pStyle w:val="Compact"/>
              <w:jc w:val="left"/>
            </w:pPr>
            <w:r>
              <w:t xml:space="preserve">Lasso</w:t>
            </w:r>
          </w:p>
        </w:tc>
        <w:tc>
          <w:p>
            <w:pPr>
              <w:pStyle w:val="Compact"/>
              <w:jc w:val="left"/>
            </w:pPr>
            <w:r>
              <w:t xml:space="preserve">1967.324</w:t>
            </w:r>
          </w:p>
        </w:tc>
      </w:tr>
      <w:tr>
        <w:tc>
          <w:p>
            <w:pPr>
              <w:pStyle w:val="Compact"/>
              <w:jc w:val="left"/>
            </w:pPr>
            <w:r>
              <w:t xml:space="preserve">Ridge</w:t>
            </w:r>
          </w:p>
        </w:tc>
        <w:tc>
          <w:p>
            <w:pPr>
              <w:pStyle w:val="Compact"/>
              <w:jc w:val="left"/>
            </w:pPr>
            <w:r>
              <w:t xml:space="preserve">1908.051</w:t>
            </w:r>
          </w:p>
        </w:tc>
      </w:tr>
      <w:tr>
        <w:tc>
          <w:p>
            <w:pPr>
              <w:pStyle w:val="Compact"/>
              <w:jc w:val="left"/>
            </w:pPr>
            <w:r>
              <w:t xml:space="preserve">Elastic Net</w:t>
            </w:r>
          </w:p>
        </w:tc>
        <w:tc>
          <w:p>
            <w:pPr>
              <w:pStyle w:val="Compact"/>
              <w:jc w:val="left"/>
            </w:pPr>
            <w:r>
              <w:t xml:space="preserve">1905.987</w:t>
            </w:r>
          </w:p>
        </w:tc>
      </w:tr>
      <w:tr>
        <w:tc>
          <w:p>
            <w:pPr>
              <w:pStyle w:val="Compact"/>
              <w:jc w:val="left"/>
            </w:pPr>
            <w:r>
              <w:t xml:space="preserve">Forward</w:t>
            </w:r>
          </w:p>
        </w:tc>
        <w:tc>
          <w:p>
            <w:pPr>
              <w:pStyle w:val="Compact"/>
              <w:jc w:val="left"/>
            </w:pPr>
            <w:r>
              <w:t xml:space="preserve">2099.483</w:t>
            </w:r>
          </w:p>
        </w:tc>
      </w:tr>
      <w:tr>
        <w:tc>
          <w:p>
            <w:pPr>
              <w:pStyle w:val="Compact"/>
              <w:jc w:val="left"/>
            </w:pPr>
            <w:r>
              <w:t xml:space="preserve">Stepwise</w:t>
            </w:r>
          </w:p>
        </w:tc>
        <w:tc>
          <w:p>
            <w:pPr>
              <w:pStyle w:val="Compact"/>
              <w:jc w:val="left"/>
            </w:pPr>
            <w:r>
              <w:t xml:space="preserve">2099.574</w:t>
            </w:r>
          </w:p>
        </w:tc>
      </w:tr>
      <w:tr>
        <w:tc>
          <w:p>
            <w:pPr>
              <w:pStyle w:val="Compact"/>
              <w:jc w:val="left"/>
            </w:pPr>
            <w:r>
              <w:t xml:space="preserve">LM (5 variables)</w:t>
            </w:r>
          </w:p>
        </w:tc>
        <w:tc>
          <w:p>
            <w:pPr>
              <w:pStyle w:val="Compact"/>
              <w:jc w:val="left"/>
            </w:pPr>
            <w:r>
              <w:t xml:space="preserve">1963.45</w:t>
            </w:r>
          </w:p>
        </w:tc>
      </w:tr>
    </w:tbl>
    <w:p>
      <w:pPr>
        <w:pStyle w:val="BodyText"/>
      </w:pPr>
      <w:r>
        <w:t xml:space="preserve">From the table above we can see that Lasso, Ridge and Elastic Net all give us a RMSE very close to each other, and slightly smaller than the multi-linear model. And the forward and stepwise model give us a higher-than-other RMSE. Because the Lasso models used all the variables we are at a risk of overfitting.</w:t>
      </w:r>
      <w:r>
        <w:t xml:space="preserve"> </w:t>
      </w:r>
      <w:r>
        <w:t xml:space="preserve">Below shows a test versus train ASE plot and we can see that the test and train error are very close with a suggestion of including ~30 variables (really 5 category variables).</w:t>
      </w:r>
    </w:p>
    <w:p>
      <w:pPr>
        <w:pStyle w:val="BodyText"/>
      </w:pPr>
      <w:r>
        <w:t xml:space="preserve">Below is a graphical representation of the results of the forward model:</w:t>
      </w:r>
    </w:p>
    <w:p>
      <w:pPr>
        <w:pStyle w:val="Heading5"/>
      </w:pPr>
      <w:bookmarkStart w:id="51" w:name="name-1"/>
      <w:r>
        <w:drawing>
          <wp:inline>
            <wp:extent cx="5056816" cy="2798432"/>
            <wp:effectExtent b="0" l="0" r="0" t="0"/>
            <wp:docPr descr="name" title="" id="1" name="Picture"/>
            <a:graphic>
              <a:graphicData uri="http://schemas.openxmlformats.org/drawingml/2006/picture">
                <pic:pic>
                  <pic:nvPicPr>
                    <pic:cNvPr descr="./img/testVStrain.png" id="0" name="Picture"/>
                    <pic:cNvPicPr>
                      <a:picLocks noChangeArrowheads="1" noChangeAspect="1"/>
                    </pic:cNvPicPr>
                  </pic:nvPicPr>
                  <pic:blipFill>
                    <a:blip r:embed="rId50"/>
                    <a:stretch>
                      <a:fillRect/>
                    </a:stretch>
                  </pic:blipFill>
                  <pic:spPr bwMode="auto">
                    <a:xfrm>
                      <a:off x="0" y="0"/>
                      <a:ext cx="5056816" cy="2798432"/>
                    </a:xfrm>
                    <a:prstGeom prst="rect">
                      <a:avLst/>
                    </a:prstGeom>
                    <a:noFill/>
                    <a:ln w="9525">
                      <a:noFill/>
                      <a:headEnd/>
                      <a:tailEnd/>
                    </a:ln>
                  </pic:spPr>
                </pic:pic>
              </a:graphicData>
            </a:graphic>
          </wp:inline>
        </w:drawing>
      </w:r>
      <w:bookmarkEnd w:id="51"/>
    </w:p>
    <w:p>
      <w:pPr>
        <w:pStyle w:val="Heading3"/>
      </w:pPr>
      <w:bookmarkStart w:id="52" w:name="interpretation"/>
      <w:r>
        <w:t xml:space="preserve">Interpretation</w:t>
      </w:r>
      <w:bookmarkEnd w:id="52"/>
    </w:p>
    <w:p>
      <w:pPr>
        <w:pStyle w:val="FirstParagraph"/>
      </w:pPr>
      <w:r>
        <w:t xml:space="preserve">Interpretting the outcome of the model requires us to check the coefficients in the table below and provide an explanation. In each categorical variable we can see one level has been chosen to use as the reference. We can check and find all the variables which listed below are with statistically significant p-value.</w:t>
      </w:r>
    </w:p>
    <w:p>
      <w:pPr>
        <w:pStyle w:val="Compact"/>
        <w:numPr>
          <w:numId w:val="1004"/>
          <w:ilvl w:val="0"/>
        </w:numPr>
      </w:pPr>
      <w:r>
        <w:t xml:space="preserve">Intercept is the mean estimate for the report delivery time keeping other variables constant.</w:t>
      </w:r>
    </w:p>
    <w:p>
      <w:pPr>
        <w:pStyle w:val="Compact"/>
        <w:numPr>
          <w:numId w:val="1004"/>
          <w:ilvl w:val="0"/>
        </w:numPr>
      </w:pPr>
      <w:r>
        <w:t xml:space="preserve">SchedFreqOneTime coefficient can be interpreted as the mean delivery time change from the reference of SchedFreqMonth.</w:t>
      </w:r>
    </w:p>
    <w:p>
      <w:pPr>
        <w:pStyle w:val="Compact"/>
        <w:numPr>
          <w:numId w:val="1004"/>
          <w:ilvl w:val="0"/>
        </w:numPr>
      </w:pPr>
      <w:r>
        <w:t xml:space="preserve">HourOfDay07 can be interpreted as the mean delivery time change from the reference of HourOfDay06.</w:t>
      </w:r>
    </w:p>
    <w:p>
      <w:pPr>
        <w:pStyle w:val="Compact"/>
        <w:numPr>
          <w:numId w:val="1004"/>
          <w:ilvl w:val="0"/>
        </w:numPr>
      </w:pPr>
      <w:r>
        <w:t xml:space="preserve">DayofMonth02 can be interpreted as the mean delivery time change from the reference of DayofMonth01.</w:t>
      </w:r>
    </w:p>
    <w:p>
      <w:pPr>
        <w:pStyle w:val="Compact"/>
        <w:numPr>
          <w:numId w:val="1004"/>
          <w:ilvl w:val="0"/>
        </w:numPr>
      </w:pPr>
      <w:r>
        <w:t xml:space="preserve">ReportCategoryExtract can be interpreted as the mean delivery time change from the reference of ReportCategoryClaims.</w:t>
      </w:r>
    </w:p>
    <w:p>
      <w:pPr>
        <w:pStyle w:val="Compact"/>
        <w:numPr>
          <w:numId w:val="1004"/>
          <w:ilvl w:val="0"/>
        </w:numPr>
      </w:pPr>
      <w:r>
        <w:t xml:space="preserve">ServerSQLODR3 can be interpreted as the mean delivery time change from the reference of ServerSQLODR2.</w:t>
      </w:r>
      <w:r>
        <w:br/>
      </w:r>
      <w:r>
        <w:t xml:space="preserve">The logged variables need to be transformed back from their log in order to be properly interpreted in the context of other variables. Because this is a liner-log model, when interpreting the coefficient of ReportDelivTime, a one unit change in the ReportDelivTime would result in an exp(Beta) change in the mean of y.</w:t>
      </w:r>
    </w:p>
    <w:p>
      <w:pPr>
        <w:pStyle w:val="FirstParagraph"/>
      </w:pPr>
      <w:r>
        <w:t xml:space="preserve">The confidence intervals for the parameter estimates are in the table below. The confidence intervals show that all the listed variables don’t contain zero at the 95% level. This indicates that we can reject the null hypothesis and say that these estimates are significantly different from zero.</w:t>
      </w:r>
    </w:p>
    <w:p>
      <w:pPr>
        <w:pStyle w:val="BodyText"/>
      </w:pPr>
      <w:r>
        <w:t xml:space="preserve">The coefficients and a 95% confidence interval are included in the tables below:</w:t>
      </w:r>
    </w:p>
    <w:p>
      <w:pPr>
        <w:pStyle w:val="BodyText"/>
      </w:pPr>
      <w:r>
        <w:drawing>
          <wp:inline>
            <wp:extent cx="6858000" cy="6871826"/>
            <wp:effectExtent b="0" l="0" r="0" t="0"/>
            <wp:docPr descr="" title="" id="1" name="Picture"/>
            <a:graphic>
              <a:graphicData uri="http://schemas.openxmlformats.org/drawingml/2006/picture">
                <pic:pic>
                  <pic:nvPicPr>
                    <pic:cNvPr descr="./img/final1.png" id="0" name="Picture"/>
                    <pic:cNvPicPr>
                      <a:picLocks noChangeArrowheads="1" noChangeAspect="1"/>
                    </pic:cNvPicPr>
                  </pic:nvPicPr>
                  <pic:blipFill>
                    <a:blip r:embed="rId53"/>
                    <a:stretch>
                      <a:fillRect/>
                    </a:stretch>
                  </pic:blipFill>
                  <pic:spPr bwMode="auto">
                    <a:xfrm>
                      <a:off x="0" y="0"/>
                      <a:ext cx="6858000" cy="6871826"/>
                    </a:xfrm>
                    <a:prstGeom prst="rect">
                      <a:avLst/>
                    </a:prstGeom>
                    <a:noFill/>
                    <a:ln w="9525">
                      <a:noFill/>
                      <a:headEnd/>
                      <a:tailEnd/>
                    </a:ln>
                  </pic:spPr>
                </pic:pic>
              </a:graphicData>
            </a:graphic>
          </wp:inline>
        </w:drawing>
      </w:r>
      <w:r>
        <w:drawing>
          <wp:inline>
            <wp:extent cx="6858000" cy="6139016"/>
            <wp:effectExtent b="0" l="0" r="0" t="0"/>
            <wp:docPr descr="" title="" id="1" name="Picture"/>
            <a:graphic>
              <a:graphicData uri="http://schemas.openxmlformats.org/drawingml/2006/picture">
                <pic:pic>
                  <pic:nvPicPr>
                    <pic:cNvPr descr="./img/final2.png" id="0" name="Picture"/>
                    <pic:cNvPicPr>
                      <a:picLocks noChangeArrowheads="1" noChangeAspect="1"/>
                    </pic:cNvPicPr>
                  </pic:nvPicPr>
                  <pic:blipFill>
                    <a:blip r:embed="rId54"/>
                    <a:stretch>
                      <a:fillRect/>
                    </a:stretch>
                  </pic:blipFill>
                  <pic:spPr bwMode="auto">
                    <a:xfrm>
                      <a:off x="0" y="0"/>
                      <a:ext cx="6858000" cy="6139016"/>
                    </a:xfrm>
                    <a:prstGeom prst="rect">
                      <a:avLst/>
                    </a:prstGeom>
                    <a:noFill/>
                    <a:ln w="9525">
                      <a:noFill/>
                      <a:headEnd/>
                      <a:tailEnd/>
                    </a:ln>
                  </pic:spPr>
                </pic:pic>
              </a:graphicData>
            </a:graphic>
          </wp:inline>
        </w:drawing>
      </w:r>
    </w:p>
    <w:p>
      <w:pPr>
        <w:pStyle w:val="Heading2"/>
      </w:pPr>
      <w:bookmarkStart w:id="55" w:name="conclusion"/>
      <w:r>
        <w:t xml:space="preserve">Conclusion</w:t>
      </w:r>
      <w:bookmarkEnd w:id="55"/>
    </w:p>
    <w:p>
      <w:pPr>
        <w:pStyle w:val="FirstParagraph"/>
      </w:pPr>
      <w:r>
        <w:t xml:space="preserve">In conclusion, the mulit-linear model with 5 predictors leveraging a logged response gave the best MSE with avoidance of over-fitting. We used a train and test split to validate the MSE across many methods and reached this conclusion. We know that the day of the month, the hour of the day, and the report category cause significant changes to estimated report delivery, with several unknown factors possibly related the number of queued reports contributing to large outliers in delivery time.</w:t>
      </w:r>
    </w:p>
    <w:p>
      <w:pPr>
        <w:pStyle w:val="BodyText"/>
      </w:pPr>
      <w:r>
        <w:t xml:space="preserve">We also suspect that multiple linear regression isn’t the best model for predicting run time given this extremely variable data-set. Several high leverage outliers keep the MLR model from tightening predictions to desirable tolerances. Report delivery time varies from milliseconds to several days, which may be the result of a failed report which was restarted, or a large number of queued reports (such as those beginning at 6am on the first.) Having indicators for restarted reports, or the count of reports in the queue at the time the report starts would be useful in predicting run-time.</w:t>
      </w:r>
    </w:p>
    <w:p>
      <w:pPr>
        <w:pStyle w:val="Heading1"/>
      </w:pPr>
      <w:bookmarkStart w:id="56" w:name="objective-2"/>
      <w:r>
        <w:t xml:space="preserve">Objective 2</w:t>
      </w:r>
      <w:bookmarkEnd w:id="56"/>
    </w:p>
    <w:p>
      <w:pPr>
        <w:pStyle w:val="FirstParagraph"/>
      </w:pPr>
      <w:r>
        <w:rPr>
          <w:b/>
        </w:rPr>
        <w:t xml:space="preserve">Our question of interest from Gilsbar is which server, and what time of day yields the best performance to schedule new reports?</w:t>
      </w:r>
      <w:r>
        <w:rPr>
          <w:b/>
        </w:rPr>
        <w:t xml:space="preserve"> </w:t>
      </w:r>
    </w:p>
    <w:p>
      <w:pPr>
        <w:pStyle w:val="BodyText"/>
      </w:pPr>
      <w:r>
        <w:t xml:space="preserve">We ran a two-way ANOVA on the data to satisfy the second objective. The business requirements drove the selection of the explanatory variables. The business wants to know what time of day and on which server new reports should be added based upon current report run times as expressed by the ReportDeliveryTime response variable.</w:t>
      </w:r>
    </w:p>
    <w:p>
      <w:pPr>
        <w:pStyle w:val="Heading2"/>
      </w:pPr>
      <w:bookmarkStart w:id="57" w:name="X524f8001870e17f5831ae2d2b55c0dbeba63e23"/>
      <w:r>
        <w:t xml:space="preserve">Explanatory Data Analysis of Server and HourBinned Variables</w:t>
      </w:r>
      <w:bookmarkEnd w:id="57"/>
    </w:p>
    <w:p>
      <w:pPr>
        <w:pStyle w:val="FirstParagraph"/>
      </w:pPr>
      <w:r>
        <w:t xml:space="preserve">The two explanatory variables require some explanation. The</w:t>
      </w:r>
      <w:r>
        <w:t xml:space="preserve"> </w:t>
      </w:r>
      <w:r>
        <w:t xml:space="preserve">“</w:t>
      </w:r>
      <w:r>
        <w:t xml:space="preserve">server</w:t>
      </w:r>
      <w:r>
        <w:t xml:space="preserve">”</w:t>
      </w:r>
      <w:r>
        <w:t xml:space="preserve"> </w:t>
      </w:r>
      <w:r>
        <w:t xml:space="preserve">variable required us to remove the data associated with testing and development servers. The testing and development report run times have very different characteristics than production data. Thus, all data associated with servers</w:t>
      </w:r>
      <w:r>
        <w:t xml:space="preserve"> </w:t>
      </w:r>
      <w:r>
        <w:t xml:space="preserve">“</w:t>
      </w:r>
      <w:r>
        <w:t xml:space="preserve">SQLODR1</w:t>
      </w:r>
      <w:r>
        <w:t xml:space="preserve">”</w:t>
      </w:r>
      <w:r>
        <w:t xml:space="preserve"> </w:t>
      </w:r>
      <w:r>
        <w:t xml:space="preserve">and</w:t>
      </w:r>
      <w:r>
        <w:t xml:space="preserve"> </w:t>
      </w:r>
      <w:r>
        <w:t xml:space="preserve">“</w:t>
      </w:r>
      <w:r>
        <w:t xml:space="preserve">SQLODR5</w:t>
      </w:r>
      <w:r>
        <w:t xml:space="preserve">”</w:t>
      </w:r>
      <w:r>
        <w:t xml:space="preserve"> </w:t>
      </w:r>
      <w:r>
        <w:t xml:space="preserve">were removed.</w:t>
      </w:r>
    </w:p>
    <w:tbl>
      <w:tblPr>
        <w:tblStyle w:val="Table"/>
        <w:tblW w:type="pct" w:w="3611.1111111111118"/>
        <w:tblLook w:firstRow="1"/>
      </w:tblPr>
      <w:tblGrid>
        <w:gridCol w:w="2200"/>
        <w:gridCol w:w="880"/>
        <w:gridCol w:w="770"/>
        <w:gridCol w:w="770"/>
        <w:gridCol w:w="1100"/>
      </w:tblGrid>
      <w:tr>
        <w:trPr>
          <w:cnfStyle w:firstRow="1"/>
        </w:trPr>
        <w:tc>
          <w:tcPr>
            <w:tcBorders>
              <w:bottom w:val="single"/>
            </w:tcBorders>
            <w:vAlign w:val="bottom"/>
          </w:tcPr>
          <w:p>
            <w:pPr>
              <w:pStyle w:val="Compact"/>
              <w:jc w:val="center"/>
            </w:pPr>
            <w:r>
              <w:t xml:space="preserve">servestats…1.1.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SQLODR2</w:t>
            </w:r>
          </w:p>
        </w:tc>
        <w:tc>
          <w:p>
            <w:pPr>
              <w:pStyle w:val="Compact"/>
              <w:jc w:val="center"/>
            </w:pPr>
            <w:r>
              <w:t xml:space="preserve">92385</w:t>
            </w:r>
          </w:p>
        </w:tc>
        <w:tc>
          <w:p>
            <w:pPr>
              <w:pStyle w:val="Compact"/>
              <w:jc w:val="center"/>
            </w:pPr>
            <w:r>
              <w:t xml:space="preserve">2256</w:t>
            </w:r>
          </w:p>
        </w:tc>
        <w:tc>
          <w:p>
            <w:pPr>
              <w:pStyle w:val="Compact"/>
              <w:jc w:val="center"/>
            </w:pPr>
            <w:r>
              <w:t xml:space="preserve">6880</w:t>
            </w:r>
          </w:p>
        </w:tc>
        <w:tc>
          <w:p>
            <w:pPr>
              <w:pStyle w:val="Compact"/>
              <w:jc w:val="center"/>
            </w:pPr>
            <w:r>
              <w:t xml:space="preserve">0.07447</w:t>
            </w:r>
          </w:p>
        </w:tc>
      </w:tr>
      <w:tr>
        <w:tc>
          <w:p>
            <w:pPr>
              <w:pStyle w:val="Compact"/>
              <w:jc w:val="center"/>
            </w:pPr>
            <w:r>
              <w:t xml:space="preserve">SQLODR3</w:t>
            </w:r>
          </w:p>
        </w:tc>
        <w:tc>
          <w:p>
            <w:pPr>
              <w:pStyle w:val="Compact"/>
              <w:jc w:val="center"/>
            </w:pPr>
            <w:r>
              <w:t xml:space="preserve">76352</w:t>
            </w:r>
          </w:p>
        </w:tc>
        <w:tc>
          <w:p>
            <w:pPr>
              <w:pStyle w:val="Compact"/>
              <w:jc w:val="center"/>
            </w:pPr>
            <w:r>
              <w:t xml:space="preserve">1969</w:t>
            </w:r>
          </w:p>
        </w:tc>
        <w:tc>
          <w:p>
            <w:pPr>
              <w:pStyle w:val="Compact"/>
              <w:jc w:val="center"/>
            </w:pPr>
            <w:r>
              <w:t xml:space="preserve">6369</w:t>
            </w:r>
          </w:p>
        </w:tc>
        <w:tc>
          <w:p>
            <w:pPr>
              <w:pStyle w:val="Compact"/>
              <w:jc w:val="center"/>
            </w:pPr>
            <w:r>
              <w:t xml:space="preserve">0.08342</w:t>
            </w:r>
          </w:p>
        </w:tc>
      </w:tr>
      <w:tr>
        <w:tc>
          <w:p>
            <w:pPr>
              <w:pStyle w:val="Compact"/>
              <w:jc w:val="center"/>
            </w:pPr>
            <w:r>
              <w:t xml:space="preserve">SQLODR6</w:t>
            </w:r>
          </w:p>
        </w:tc>
        <w:tc>
          <w:p>
            <w:pPr>
              <w:pStyle w:val="Compact"/>
              <w:jc w:val="center"/>
            </w:pPr>
            <w:r>
              <w:t xml:space="preserve">95400</w:t>
            </w:r>
          </w:p>
        </w:tc>
        <w:tc>
          <w:p>
            <w:pPr>
              <w:pStyle w:val="Compact"/>
              <w:jc w:val="center"/>
            </w:pPr>
            <w:r>
              <w:t xml:space="preserve">2162</w:t>
            </w:r>
          </w:p>
        </w:tc>
        <w:tc>
          <w:p>
            <w:pPr>
              <w:pStyle w:val="Compact"/>
              <w:jc w:val="center"/>
            </w:pPr>
            <w:r>
              <w:t xml:space="preserve">6767</w:t>
            </w:r>
          </w:p>
        </w:tc>
        <w:tc>
          <w:p>
            <w:pPr>
              <w:pStyle w:val="Compact"/>
              <w:jc w:val="center"/>
            </w:pPr>
            <w:r>
              <w:t xml:space="preserve">0.07094</w:t>
            </w:r>
          </w:p>
        </w:tc>
      </w:tr>
    </w:tbl>
    <w:p>
      <w:pPr>
        <w:pStyle w:val="BodyText"/>
      </w:pPr>
      <w:r>
        <w:t xml:space="preserve">The table above shows that server</w:t>
      </w:r>
      <w:r>
        <w:t xml:space="preserve"> </w:t>
      </w:r>
      <w:r>
        <w:t xml:space="preserve">“</w:t>
      </w:r>
      <w:r>
        <w:t xml:space="preserve">SQLODR3</w:t>
      </w:r>
      <w:r>
        <w:t xml:space="preserve">”</w:t>
      </w:r>
      <w:r>
        <w:t xml:space="preserve"> </w:t>
      </w:r>
      <w:r>
        <w:t xml:space="preserve">runs fewer reports than the other two servers and has differences in mean report run time and standard deviation.</w:t>
      </w:r>
    </w:p>
    <w:p>
      <w:pPr>
        <w:pStyle w:val="BodyText"/>
      </w:pPr>
      <w:r>
        <w:t xml:space="preserve">“</w:t>
      </w:r>
      <w:r>
        <w:t xml:space="preserve">HourBinned</w:t>
      </w:r>
      <w:r>
        <w:t xml:space="preserve">”</w:t>
      </w:r>
      <w:r>
        <w:t xml:space="preserve"> </w:t>
      </w:r>
      <w:r>
        <w:t xml:space="preserve">variable indicates the time of day the report ran. Several things should be noted about it. A maintenance window exists every night between the hours of midnight and six AM. Only a few reports run during this maintenance window. Likewise, relatively few reports run during the late evening hours between eight PM and midnight. We binned these two time periods separately. The remaining time during the days was binned in two-hour blocks. The summary tables below give counts and means of the various bins.</w:t>
      </w:r>
    </w:p>
    <w:tbl>
      <w:tblPr>
        <w:tblStyle w:val="Table"/>
        <w:tblW w:type="pct" w:w="3750.0"/>
        <w:tblLook w:firstRow="1"/>
      </w:tblPr>
      <w:tblGrid>
        <w:gridCol w:w="2090"/>
        <w:gridCol w:w="990"/>
        <w:gridCol w:w="880"/>
        <w:gridCol w:w="880"/>
        <w:gridCol w:w="1100"/>
      </w:tblGrid>
      <w:tr>
        <w:trPr>
          <w:cnfStyle w:firstRow="1"/>
        </w:trPr>
        <w:tc>
          <w:tcPr>
            <w:tcBorders>
              <w:bottom w:val="single"/>
            </w:tcBorders>
            <w:vAlign w:val="bottom"/>
          </w:tcPr>
          <w:p>
            <w:pPr>
              <w:pStyle w:val="Compact"/>
              <w:jc w:val="center"/>
            </w:pPr>
            <w:r>
              <w:t xml:space="preserve">hourstats…1.1.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0005</w:t>
            </w:r>
          </w:p>
        </w:tc>
        <w:tc>
          <w:p>
            <w:pPr>
              <w:pStyle w:val="Compact"/>
              <w:jc w:val="center"/>
            </w:pPr>
            <w:r>
              <w:t xml:space="preserve">384</w:t>
            </w:r>
          </w:p>
        </w:tc>
        <w:tc>
          <w:p>
            <w:pPr>
              <w:pStyle w:val="Compact"/>
              <w:jc w:val="center"/>
            </w:pPr>
            <w:r>
              <w:t xml:space="preserve">69285</w:t>
            </w:r>
          </w:p>
        </w:tc>
        <w:tc>
          <w:p>
            <w:pPr>
              <w:pStyle w:val="Compact"/>
              <w:jc w:val="center"/>
            </w:pPr>
            <w:r>
              <w:t xml:space="preserve">13611</w:t>
            </w:r>
          </w:p>
        </w:tc>
        <w:tc>
          <w:p>
            <w:pPr>
              <w:pStyle w:val="Compact"/>
              <w:jc w:val="center"/>
            </w:pPr>
            <w:r>
              <w:t xml:space="preserve">35.44</w:t>
            </w:r>
          </w:p>
        </w:tc>
      </w:tr>
      <w:tr>
        <w:tc>
          <w:p>
            <w:pPr>
              <w:pStyle w:val="Compact"/>
              <w:jc w:val="center"/>
            </w:pPr>
            <w:r>
              <w:t xml:space="preserve">0607</w:t>
            </w:r>
          </w:p>
        </w:tc>
        <w:tc>
          <w:p>
            <w:pPr>
              <w:pStyle w:val="Compact"/>
              <w:jc w:val="center"/>
            </w:pPr>
            <w:r>
              <w:t xml:space="preserve">108726</w:t>
            </w:r>
          </w:p>
        </w:tc>
        <w:tc>
          <w:p>
            <w:pPr>
              <w:pStyle w:val="Compact"/>
              <w:jc w:val="center"/>
            </w:pPr>
            <w:r>
              <w:t xml:space="preserve">2021</w:t>
            </w:r>
          </w:p>
        </w:tc>
        <w:tc>
          <w:p>
            <w:pPr>
              <w:pStyle w:val="Compact"/>
              <w:jc w:val="center"/>
            </w:pPr>
            <w:r>
              <w:t xml:space="preserve">4944</w:t>
            </w:r>
          </w:p>
        </w:tc>
        <w:tc>
          <w:p>
            <w:pPr>
              <w:pStyle w:val="Compact"/>
              <w:jc w:val="center"/>
            </w:pPr>
            <w:r>
              <w:t xml:space="preserve">0.04547</w:t>
            </w:r>
          </w:p>
        </w:tc>
      </w:tr>
      <w:tr>
        <w:tc>
          <w:p>
            <w:pPr>
              <w:pStyle w:val="Compact"/>
              <w:jc w:val="center"/>
            </w:pPr>
            <w:r>
              <w:t xml:space="preserve">0809</w:t>
            </w:r>
          </w:p>
        </w:tc>
        <w:tc>
          <w:p>
            <w:pPr>
              <w:pStyle w:val="Compact"/>
              <w:jc w:val="center"/>
            </w:pPr>
            <w:r>
              <w:t xml:space="preserve">52825</w:t>
            </w:r>
          </w:p>
        </w:tc>
        <w:tc>
          <w:p>
            <w:pPr>
              <w:pStyle w:val="Compact"/>
              <w:jc w:val="center"/>
            </w:pPr>
            <w:r>
              <w:t xml:space="preserve">1589</w:t>
            </w:r>
          </w:p>
        </w:tc>
        <w:tc>
          <w:p>
            <w:pPr>
              <w:pStyle w:val="Compact"/>
              <w:jc w:val="center"/>
            </w:pPr>
            <w:r>
              <w:t xml:space="preserve">4707</w:t>
            </w:r>
          </w:p>
        </w:tc>
        <w:tc>
          <w:p>
            <w:pPr>
              <w:pStyle w:val="Compact"/>
              <w:jc w:val="center"/>
            </w:pPr>
            <w:r>
              <w:t xml:space="preserve">0.08911</w:t>
            </w:r>
          </w:p>
        </w:tc>
      </w:tr>
      <w:tr>
        <w:tc>
          <w:p>
            <w:pPr>
              <w:pStyle w:val="Compact"/>
              <w:jc w:val="center"/>
            </w:pPr>
            <w:r>
              <w:t xml:space="preserve">1011</w:t>
            </w:r>
          </w:p>
        </w:tc>
        <w:tc>
          <w:p>
            <w:pPr>
              <w:pStyle w:val="Compact"/>
              <w:jc w:val="center"/>
            </w:pPr>
            <w:r>
              <w:t xml:space="preserve">21445</w:t>
            </w:r>
          </w:p>
        </w:tc>
        <w:tc>
          <w:p>
            <w:pPr>
              <w:pStyle w:val="Compact"/>
              <w:jc w:val="center"/>
            </w:pPr>
            <w:r>
              <w:t xml:space="preserve">3045</w:t>
            </w:r>
          </w:p>
        </w:tc>
        <w:tc>
          <w:p>
            <w:pPr>
              <w:pStyle w:val="Compact"/>
              <w:jc w:val="center"/>
            </w:pPr>
            <w:r>
              <w:t xml:space="preserve">7554</w:t>
            </w:r>
          </w:p>
        </w:tc>
        <w:tc>
          <w:p>
            <w:pPr>
              <w:pStyle w:val="Compact"/>
              <w:jc w:val="center"/>
            </w:pPr>
            <w:r>
              <w:t xml:space="preserve">0.3522</w:t>
            </w:r>
          </w:p>
        </w:tc>
      </w:tr>
      <w:tr>
        <w:tc>
          <w:p>
            <w:pPr>
              <w:pStyle w:val="Compact"/>
              <w:jc w:val="center"/>
            </w:pPr>
            <w:r>
              <w:t xml:space="preserve">1213</w:t>
            </w:r>
          </w:p>
        </w:tc>
        <w:tc>
          <w:p>
            <w:pPr>
              <w:pStyle w:val="Compact"/>
              <w:jc w:val="center"/>
            </w:pPr>
            <w:r>
              <w:t xml:space="preserve">16435</w:t>
            </w:r>
          </w:p>
        </w:tc>
        <w:tc>
          <w:p>
            <w:pPr>
              <w:pStyle w:val="Compact"/>
              <w:jc w:val="center"/>
            </w:pPr>
            <w:r>
              <w:t xml:space="preserve">2525</w:t>
            </w:r>
          </w:p>
        </w:tc>
        <w:tc>
          <w:p>
            <w:pPr>
              <w:pStyle w:val="Compact"/>
              <w:jc w:val="center"/>
            </w:pPr>
            <w:r>
              <w:t xml:space="preserve">9787</w:t>
            </w:r>
          </w:p>
        </w:tc>
        <w:tc>
          <w:p>
            <w:pPr>
              <w:pStyle w:val="Compact"/>
              <w:jc w:val="center"/>
            </w:pPr>
            <w:r>
              <w:t xml:space="preserve">0.5955</w:t>
            </w:r>
          </w:p>
        </w:tc>
      </w:tr>
      <w:tr>
        <w:tc>
          <w:p>
            <w:pPr>
              <w:pStyle w:val="Compact"/>
              <w:jc w:val="center"/>
            </w:pPr>
            <w:r>
              <w:t xml:space="preserve">1415</w:t>
            </w:r>
          </w:p>
        </w:tc>
        <w:tc>
          <w:p>
            <w:pPr>
              <w:pStyle w:val="Compact"/>
              <w:jc w:val="center"/>
            </w:pPr>
            <w:r>
              <w:t xml:space="preserve">18022</w:t>
            </w:r>
          </w:p>
        </w:tc>
        <w:tc>
          <w:p>
            <w:pPr>
              <w:pStyle w:val="Compact"/>
              <w:jc w:val="center"/>
            </w:pPr>
            <w:r>
              <w:t xml:space="preserve">1483</w:t>
            </w:r>
          </w:p>
        </w:tc>
        <w:tc>
          <w:p>
            <w:pPr>
              <w:pStyle w:val="Compact"/>
              <w:jc w:val="center"/>
            </w:pPr>
            <w:r>
              <w:t xml:space="preserve">5886</w:t>
            </w:r>
          </w:p>
        </w:tc>
        <w:tc>
          <w:p>
            <w:pPr>
              <w:pStyle w:val="Compact"/>
              <w:jc w:val="center"/>
            </w:pPr>
            <w:r>
              <w:t xml:space="preserve">0.3266</w:t>
            </w:r>
          </w:p>
        </w:tc>
      </w:tr>
      <w:tr>
        <w:tc>
          <w:p>
            <w:pPr>
              <w:pStyle w:val="Compact"/>
              <w:jc w:val="center"/>
            </w:pPr>
            <w:r>
              <w:t xml:space="preserve">1617</w:t>
            </w:r>
          </w:p>
        </w:tc>
        <w:tc>
          <w:p>
            <w:pPr>
              <w:pStyle w:val="Compact"/>
              <w:jc w:val="center"/>
            </w:pPr>
            <w:r>
              <w:t xml:space="preserve">10284</w:t>
            </w:r>
          </w:p>
        </w:tc>
        <w:tc>
          <w:p>
            <w:pPr>
              <w:pStyle w:val="Compact"/>
              <w:jc w:val="center"/>
            </w:pPr>
            <w:r>
              <w:t xml:space="preserve">3170</w:t>
            </w:r>
          </w:p>
        </w:tc>
        <w:tc>
          <w:p>
            <w:pPr>
              <w:pStyle w:val="Compact"/>
              <w:jc w:val="center"/>
            </w:pPr>
            <w:r>
              <w:t xml:space="preserve">8682</w:t>
            </w:r>
          </w:p>
        </w:tc>
        <w:tc>
          <w:p>
            <w:pPr>
              <w:pStyle w:val="Compact"/>
              <w:jc w:val="center"/>
            </w:pPr>
            <w:r>
              <w:t xml:space="preserve">0.8442</w:t>
            </w:r>
          </w:p>
        </w:tc>
      </w:tr>
      <w:tr>
        <w:tc>
          <w:p>
            <w:pPr>
              <w:pStyle w:val="Compact"/>
              <w:jc w:val="center"/>
            </w:pPr>
            <w:r>
              <w:t xml:space="preserve">1823</w:t>
            </w:r>
          </w:p>
        </w:tc>
        <w:tc>
          <w:p>
            <w:pPr>
              <w:pStyle w:val="Compact"/>
              <w:jc w:val="center"/>
            </w:pPr>
            <w:r>
              <w:t xml:space="preserve">36016</w:t>
            </w:r>
          </w:p>
        </w:tc>
        <w:tc>
          <w:p>
            <w:pPr>
              <w:pStyle w:val="Compact"/>
              <w:jc w:val="center"/>
            </w:pPr>
            <w:r>
              <w:t xml:space="preserve">1902</w:t>
            </w:r>
          </w:p>
        </w:tc>
        <w:tc>
          <w:p>
            <w:pPr>
              <w:pStyle w:val="Compact"/>
              <w:jc w:val="center"/>
            </w:pPr>
            <w:r>
              <w:t xml:space="preserve">7373</w:t>
            </w:r>
          </w:p>
        </w:tc>
        <w:tc>
          <w:p>
            <w:pPr>
              <w:pStyle w:val="Compact"/>
              <w:jc w:val="center"/>
            </w:pPr>
            <w:r>
              <w:t xml:space="preserve">0.2047</w:t>
            </w:r>
          </w:p>
        </w:tc>
      </w:tr>
    </w:tbl>
    <w:p>
      <w:pPr>
        <w:pStyle w:val="BodyText"/>
      </w:pPr>
      <w:r>
        <w:t xml:space="preserve">Looking at the data above for the BinnedHour variable the late evening hours and the overnight maintenance window bins display very different standard deviations than the rest of the bins. Also, of note the sample count size differs for those two bins. Finally reports should not be added to the overnight bin that includes the maintenance window.</w:t>
      </w:r>
    </w:p>
    <w:p>
      <w:pPr>
        <w:pStyle w:val="BodyText"/>
      </w:pPr>
      <w:r>
        <w:drawing>
          <wp:inline>
            <wp:extent cx="6699183" cy="3696101"/>
            <wp:effectExtent b="0" l="0" r="0" t="0"/>
            <wp:docPr descr="" title="" id="1" name="Picture"/>
            <a:graphic>
              <a:graphicData uri="http://schemas.openxmlformats.org/drawingml/2006/picture">
                <pic:pic>
                  <pic:nvPicPr>
                    <pic:cNvPr descr="index_files/figure-docx/numReportPlot-1.png" id="0" name="Picture"/>
                    <pic:cNvPicPr>
                      <a:picLocks noChangeArrowheads="1" noChangeAspect="1"/>
                    </pic:cNvPicPr>
                  </pic:nvPicPr>
                  <pic:blipFill>
                    <a:blip r:embed="rId58"/>
                    <a:stretch>
                      <a:fillRect/>
                    </a:stretch>
                  </pic:blipFill>
                  <pic:spPr bwMode="auto">
                    <a:xfrm>
                      <a:off x="0" y="0"/>
                      <a:ext cx="6699183" cy="3696101"/>
                    </a:xfrm>
                    <a:prstGeom prst="rect">
                      <a:avLst/>
                    </a:prstGeom>
                    <a:noFill/>
                    <a:ln w="9525">
                      <a:noFill/>
                      <a:headEnd/>
                      <a:tailEnd/>
                    </a:ln>
                  </pic:spPr>
                </pic:pic>
              </a:graphicData>
            </a:graphic>
          </wp:inline>
        </w:drawing>
      </w:r>
    </w:p>
    <w:p>
      <w:pPr>
        <w:pStyle w:val="BodyText"/>
      </w:pPr>
      <w:r>
        <w:t xml:space="preserve">The graph shows that each server tracks the others in terms of reports run at a particular hour. A simple interpretation of the results benefits the business directly. The first analysis of the data included an unlogged response variable.</w:t>
      </w:r>
    </w:p>
    <w:p>
      <w:pPr>
        <w:pStyle w:val="BodyText"/>
      </w:pPr>
      <w:r>
        <w:t xml:space="preserve">The bins for overnight and late evening (</w:t>
      </w:r>
      <w:r>
        <w:t xml:space="preserve">“</w:t>
      </w:r>
      <w:r>
        <w:t xml:space="preserve">0005</w:t>
      </w:r>
      <w:r>
        <w:t xml:space="preserve">”</w:t>
      </w:r>
      <w:r>
        <w:t xml:space="preserve">,”2023”) have been excluded from the remainder of analysis.</w:t>
      </w:r>
    </w:p>
    <w:p>
      <w:pPr>
        <w:pStyle w:val="Heading2"/>
      </w:pPr>
      <w:bookmarkStart w:id="59" w:name="unlogged-response-analysis"/>
      <w:r>
        <w:t xml:space="preserve">Unlogged Response Analysis</w:t>
      </w:r>
      <w:bookmarkEnd w:id="59"/>
    </w:p>
    <w:tbl>
      <w:tblPr>
        <w:tblStyle w:val="Table"/>
        <w:tblW w:type="pct" w:w="2569.4444444444443"/>
        <w:tblLook w:firstRow="1"/>
      </w:tblPr>
      <w:tblGrid>
        <w:gridCol w:w="264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Pr(&gt;F)</w:t>
            </w:r>
          </w:p>
        </w:tc>
      </w:tr>
      <w:tr>
        <w:tc>
          <w:p>
            <w:pPr>
              <w:pStyle w:val="Compact"/>
              <w:jc w:val="center"/>
            </w:pPr>
            <w:r>
              <w:rPr>
                <w:b/>
              </w:rPr>
              <w:t xml:space="preserve">(Intercept)</w:t>
            </w:r>
          </w:p>
        </w:tc>
        <w:tc>
          <w:p>
            <w:pPr>
              <w:pStyle w:val="Compact"/>
              <w:jc w:val="center"/>
            </w:pPr>
            <w:r>
              <w:t xml:space="preserve">0</w:t>
            </w:r>
          </w:p>
        </w:tc>
      </w:tr>
      <w:tr>
        <w:tc>
          <w:p>
            <w:pPr>
              <w:pStyle w:val="Compact"/>
              <w:jc w:val="center"/>
            </w:pPr>
            <w:r>
              <w:rPr>
                <w:b/>
              </w:rPr>
              <w:t xml:space="preserve">Server</w:t>
            </w:r>
          </w:p>
        </w:tc>
        <w:tc>
          <w:p>
            <w:pPr>
              <w:pStyle w:val="Compact"/>
              <w:jc w:val="center"/>
            </w:pPr>
            <w:r>
              <w:t xml:space="preserve">0.0002485</w:t>
            </w:r>
          </w:p>
        </w:tc>
      </w:tr>
      <w:tr>
        <w:tc>
          <w:p>
            <w:pPr>
              <w:pStyle w:val="Compact"/>
              <w:jc w:val="center"/>
            </w:pPr>
            <w:r>
              <w:rPr>
                <w:b/>
              </w:rPr>
              <w:t xml:space="preserve">HourBinned</w:t>
            </w:r>
          </w:p>
        </w:tc>
        <w:tc>
          <w:p>
            <w:pPr>
              <w:pStyle w:val="Compact"/>
              <w:jc w:val="center"/>
            </w:pPr>
            <w:r>
              <w:t xml:space="preserve">3.634e-138</w:t>
            </w:r>
          </w:p>
        </w:tc>
      </w:tr>
      <w:tr>
        <w:tc>
          <w:p>
            <w:pPr>
              <w:pStyle w:val="Compact"/>
              <w:jc w:val="center"/>
            </w:pPr>
            <w:r>
              <w:rPr>
                <w:b/>
              </w:rPr>
              <w:t xml:space="preserve">Server:HourBinned</w:t>
            </w:r>
          </w:p>
        </w:tc>
        <w:tc>
          <w:p>
            <w:pPr>
              <w:pStyle w:val="Compact"/>
              <w:jc w:val="center"/>
            </w:pPr>
            <w:r>
              <w:t xml:space="preserve">9.2e-29</w:t>
            </w:r>
          </w:p>
        </w:tc>
      </w:tr>
      <w:tr>
        <w:tc>
          <w:p>
            <w:pPr>
              <w:pStyle w:val="Compact"/>
              <w:jc w:val="center"/>
            </w:pPr>
            <w:r>
              <w:rPr>
                <w:b/>
              </w:rPr>
              <w:t xml:space="preserve">Residuals</w:t>
            </w:r>
          </w:p>
        </w:tc>
        <w:tc>
          <w:p>
            <w:pPr>
              <w:pStyle w:val="Compact"/>
              <w:jc w:val="center"/>
            </w:pPr>
            <w:r>
              <w:t xml:space="preserve">NA</w:t>
            </w:r>
          </w:p>
        </w:tc>
      </w:tr>
    </w:tbl>
    <w:p>
      <w:pPr>
        <w:pStyle w:val="BodyText"/>
      </w:pPr>
      <w:r>
        <w:t xml:space="preserve">The type 3 ANOVA table indicates that both terms as well as the interaction term are statistically significant with very low p-values.</w:t>
      </w:r>
    </w:p>
    <w:p>
      <w:pPr>
        <w:pStyle w:val="BodyText"/>
      </w:pPr>
      <w:r>
        <w:drawing>
          <wp:inline>
            <wp:extent cx="6699183" cy="2310063"/>
            <wp:effectExtent b="0" l="0" r="0" t="0"/>
            <wp:docPr descr="" title="" id="1" name="Picture"/>
            <a:graphic>
              <a:graphicData uri="http://schemas.openxmlformats.org/drawingml/2006/picture">
                <pic:pic>
                  <pic:nvPicPr>
                    <pic:cNvPr descr="index_files/figure-docx/ANOVAIIINoLog-1.png" id="0" name="Picture"/>
                    <pic:cNvPicPr>
                      <a:picLocks noChangeArrowheads="1" noChangeAspect="1"/>
                    </pic:cNvPicPr>
                  </pic:nvPicPr>
                  <pic:blipFill>
                    <a:blip r:embed="rId60"/>
                    <a:stretch>
                      <a:fillRect/>
                    </a:stretch>
                  </pic:blipFill>
                  <pic:spPr bwMode="auto">
                    <a:xfrm>
                      <a:off x="0" y="0"/>
                      <a:ext cx="6699183" cy="2310063"/>
                    </a:xfrm>
                    <a:prstGeom prst="rect">
                      <a:avLst/>
                    </a:prstGeom>
                    <a:noFill/>
                    <a:ln w="9525">
                      <a:noFill/>
                      <a:headEnd/>
                      <a:tailEnd/>
                    </a:ln>
                  </pic:spPr>
                </pic:pic>
              </a:graphicData>
            </a:graphic>
          </wp:inline>
        </w:drawing>
      </w:r>
    </w:p>
    <w:p>
      <w:pPr>
        <w:pStyle w:val="BodyText"/>
      </w:pPr>
      <w:r>
        <w:t xml:space="preserve">The residual plot appears to demonstrate a cone shape with residuals beneath 2000 being noticeably more spread out than those above 3000. The Q-Q plot displays dramatic differences from normality. A log transform of the response variable is necessary.</w:t>
      </w:r>
    </w:p>
    <w:p>
      <w:pPr>
        <w:pStyle w:val="Heading2"/>
      </w:pPr>
      <w:bookmarkStart w:id="61" w:name="logged-response-analysis"/>
      <w:r>
        <w:t xml:space="preserve">Logged Response Analysis</w:t>
      </w:r>
      <w:bookmarkEnd w:id="61"/>
    </w:p>
    <w:tbl>
      <w:tblPr>
        <w:tblStyle w:val="Table"/>
        <w:tblW w:type="pct" w:w="2500.0"/>
        <w:tblLook w:firstRow="1"/>
      </w:tblPr>
      <w:tblGrid>
        <w:gridCol w:w="264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Pr(&gt;F)</w:t>
            </w:r>
          </w:p>
        </w:tc>
      </w:tr>
      <w:tr>
        <w:tc>
          <w:p>
            <w:pPr>
              <w:pStyle w:val="Compact"/>
              <w:jc w:val="center"/>
            </w:pPr>
            <w:r>
              <w:rPr>
                <w:b/>
              </w:rPr>
              <w:t xml:space="preserve">(Intercept)</w:t>
            </w:r>
          </w:p>
        </w:tc>
        <w:tc>
          <w:p>
            <w:pPr>
              <w:pStyle w:val="Compact"/>
              <w:jc w:val="center"/>
            </w:pPr>
            <w:r>
              <w:t xml:space="preserve">0</w:t>
            </w:r>
          </w:p>
        </w:tc>
      </w:tr>
      <w:tr>
        <w:tc>
          <w:p>
            <w:pPr>
              <w:pStyle w:val="Compact"/>
              <w:jc w:val="center"/>
            </w:pPr>
            <w:r>
              <w:rPr>
                <w:b/>
              </w:rPr>
              <w:t xml:space="preserve">Server</w:t>
            </w:r>
          </w:p>
        </w:tc>
        <w:tc>
          <w:p>
            <w:pPr>
              <w:pStyle w:val="Compact"/>
              <w:jc w:val="center"/>
            </w:pPr>
            <w:r>
              <w:t xml:space="preserve">8.985e-06</w:t>
            </w:r>
          </w:p>
        </w:tc>
      </w:tr>
      <w:tr>
        <w:tc>
          <w:p>
            <w:pPr>
              <w:pStyle w:val="Compact"/>
              <w:jc w:val="center"/>
            </w:pPr>
            <w:r>
              <w:rPr>
                <w:b/>
              </w:rPr>
              <w:t xml:space="preserve">HourBinned</w:t>
            </w:r>
          </w:p>
        </w:tc>
        <w:tc>
          <w:p>
            <w:pPr>
              <w:pStyle w:val="Compact"/>
              <w:jc w:val="center"/>
            </w:pPr>
            <w:r>
              <w:t xml:space="preserve">0</w:t>
            </w:r>
          </w:p>
        </w:tc>
      </w:tr>
      <w:tr>
        <w:tc>
          <w:p>
            <w:pPr>
              <w:pStyle w:val="Compact"/>
              <w:jc w:val="center"/>
            </w:pPr>
            <w:r>
              <w:rPr>
                <w:b/>
              </w:rPr>
              <w:t xml:space="preserve">Server:HourBinned</w:t>
            </w:r>
          </w:p>
        </w:tc>
        <w:tc>
          <w:p>
            <w:pPr>
              <w:pStyle w:val="Compact"/>
              <w:jc w:val="center"/>
            </w:pPr>
            <w:r>
              <w:t xml:space="preserve">1.057e-52</w:t>
            </w:r>
          </w:p>
        </w:tc>
      </w:tr>
      <w:tr>
        <w:tc>
          <w:p>
            <w:pPr>
              <w:pStyle w:val="Compact"/>
              <w:jc w:val="center"/>
            </w:pPr>
            <w:r>
              <w:rPr>
                <w:b/>
              </w:rPr>
              <w:t xml:space="preserve">Residuals</w:t>
            </w:r>
          </w:p>
        </w:tc>
        <w:tc>
          <w:p>
            <w:pPr>
              <w:pStyle w:val="Compact"/>
              <w:jc w:val="center"/>
            </w:pPr>
            <w:r>
              <w:t xml:space="preserve">NA</w:t>
            </w:r>
          </w:p>
        </w:tc>
      </w:tr>
    </w:tbl>
    <w:p>
      <w:pPr>
        <w:pStyle w:val="Compact"/>
        <w:numPr>
          <w:numId w:val="1005"/>
          <w:ilvl w:val="0"/>
        </w:numPr>
      </w:pPr>
      <w:r>
        <w:t xml:space="preserve">The type III ANOVA table again shows that both the interaction term as well as the individual terms are significant.</w:t>
      </w:r>
    </w:p>
    <w:p>
      <w:pPr>
        <w:pStyle w:val="FirstParagraph"/>
      </w:pPr>
      <w:r>
        <w:t xml:space="preserve">The summary tables for the logged response variable are displayed below</w:t>
      </w:r>
    </w:p>
    <w:tbl>
      <w:tblPr>
        <w:tblStyle w:val="Table"/>
        <w:tblW w:type="pct" w:w="4236.111111111111"/>
        <w:tblLook w:firstRow="1"/>
      </w:tblPr>
      <w:tblGrid>
        <w:gridCol w:w="2750"/>
        <w:gridCol w:w="880"/>
        <w:gridCol w:w="880"/>
        <w:gridCol w:w="880"/>
        <w:gridCol w:w="1320"/>
      </w:tblGrid>
      <w:tr>
        <w:trPr>
          <w:cnfStyle w:firstRow="1"/>
        </w:trPr>
        <w:tc>
          <w:tcPr>
            <w:tcBorders>
              <w:bottom w:val="single"/>
            </w:tcBorders>
            <w:vAlign w:val="bottom"/>
          </w:tcPr>
          <w:p>
            <w:pPr>
              <w:pStyle w:val="Compact"/>
              <w:jc w:val="center"/>
            </w:pPr>
            <w:r>
              <w:t xml:space="preserve">servestats.fltr…1.1.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SQLODR2</w:t>
            </w:r>
          </w:p>
        </w:tc>
        <w:tc>
          <w:p>
            <w:pPr>
              <w:pStyle w:val="Compact"/>
              <w:jc w:val="center"/>
            </w:pPr>
            <w:r>
              <w:t xml:space="preserve">92239</w:t>
            </w:r>
          </w:p>
        </w:tc>
        <w:tc>
          <w:p>
            <w:pPr>
              <w:pStyle w:val="Compact"/>
              <w:jc w:val="center"/>
            </w:pPr>
            <w:r>
              <w:t xml:space="preserve">6.139</w:t>
            </w:r>
          </w:p>
        </w:tc>
        <w:tc>
          <w:p>
            <w:pPr>
              <w:pStyle w:val="Compact"/>
              <w:jc w:val="center"/>
            </w:pPr>
            <w:r>
              <w:t xml:space="preserve">2.11</w:t>
            </w:r>
          </w:p>
        </w:tc>
        <w:tc>
          <w:p>
            <w:pPr>
              <w:pStyle w:val="Compact"/>
              <w:jc w:val="center"/>
            </w:pPr>
            <w:r>
              <w:t xml:space="preserve">2.287e-05</w:t>
            </w:r>
          </w:p>
        </w:tc>
      </w:tr>
      <w:tr>
        <w:tc>
          <w:p>
            <w:pPr>
              <w:pStyle w:val="Compact"/>
              <w:jc w:val="center"/>
            </w:pPr>
            <w:r>
              <w:t xml:space="preserve">SQLODR3</w:t>
            </w:r>
          </w:p>
        </w:tc>
        <w:tc>
          <w:p>
            <w:pPr>
              <w:pStyle w:val="Compact"/>
              <w:jc w:val="center"/>
            </w:pPr>
            <w:r>
              <w:t xml:space="preserve">76262</w:t>
            </w:r>
          </w:p>
        </w:tc>
        <w:tc>
          <w:p>
            <w:pPr>
              <w:pStyle w:val="Compact"/>
              <w:jc w:val="center"/>
            </w:pPr>
            <w:r>
              <w:t xml:space="preserve">5.964</w:t>
            </w:r>
          </w:p>
        </w:tc>
        <w:tc>
          <w:p>
            <w:pPr>
              <w:pStyle w:val="Compact"/>
              <w:jc w:val="center"/>
            </w:pPr>
            <w:r>
              <w:t xml:space="preserve">2.108</w:t>
            </w:r>
          </w:p>
        </w:tc>
        <w:tc>
          <w:p>
            <w:pPr>
              <w:pStyle w:val="Compact"/>
              <w:jc w:val="center"/>
            </w:pPr>
            <w:r>
              <w:t xml:space="preserve">2.764e-05</w:t>
            </w:r>
          </w:p>
        </w:tc>
      </w:tr>
      <w:tr>
        <w:tc>
          <w:p>
            <w:pPr>
              <w:pStyle w:val="Compact"/>
              <w:jc w:val="center"/>
            </w:pPr>
            <w:r>
              <w:t xml:space="preserve">SQLODR6</w:t>
            </w:r>
          </w:p>
        </w:tc>
        <w:tc>
          <w:p>
            <w:pPr>
              <w:pStyle w:val="Compact"/>
              <w:jc w:val="center"/>
            </w:pPr>
            <w:r>
              <w:t xml:space="preserve">95252</w:t>
            </w:r>
          </w:p>
        </w:tc>
        <w:tc>
          <w:p>
            <w:pPr>
              <w:pStyle w:val="Compact"/>
              <w:jc w:val="center"/>
            </w:pPr>
            <w:r>
              <w:t xml:space="preserve">6.058</w:t>
            </w:r>
          </w:p>
        </w:tc>
        <w:tc>
          <w:p>
            <w:pPr>
              <w:pStyle w:val="Compact"/>
              <w:jc w:val="center"/>
            </w:pPr>
            <w:r>
              <w:t xml:space="preserve">2.146</w:t>
            </w:r>
          </w:p>
        </w:tc>
        <w:tc>
          <w:p>
            <w:pPr>
              <w:pStyle w:val="Compact"/>
              <w:jc w:val="center"/>
            </w:pPr>
            <w:r>
              <w:t xml:space="preserve">2.253e-05</w:t>
            </w:r>
          </w:p>
        </w:tc>
      </w:tr>
    </w:tbl>
    <w:p>
      <w:pPr>
        <w:pStyle w:val="BodyText"/>
      </w:pPr>
      <w:r>
        <w:t xml:space="preserve">The mean and standard deviation of the logged ReportDeliveryTime track extremely close now with respect to the server variable.</w:t>
      </w:r>
    </w:p>
    <w:tbl>
      <w:tblPr>
        <w:tblStyle w:val="Table"/>
        <w:tblW w:type="pct" w:w="4236.111111111111"/>
        <w:tblLook w:firstRow="1"/>
      </w:tblPr>
      <w:tblGrid>
        <w:gridCol w:w="2640"/>
        <w:gridCol w:w="990"/>
        <w:gridCol w:w="880"/>
        <w:gridCol w:w="880"/>
        <w:gridCol w:w="1320"/>
      </w:tblGrid>
      <w:tr>
        <w:trPr>
          <w:cnfStyle w:firstRow="1"/>
        </w:trPr>
        <w:tc>
          <w:tcPr>
            <w:tcBorders>
              <w:bottom w:val="single"/>
            </w:tcBorders>
            <w:vAlign w:val="bottom"/>
          </w:tcPr>
          <w:p>
            <w:pPr>
              <w:pStyle w:val="Compact"/>
              <w:jc w:val="center"/>
            </w:pPr>
            <w:r>
              <w:t xml:space="preserve">hourstats.fltr…1.1.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0607</w:t>
            </w:r>
          </w:p>
        </w:tc>
        <w:tc>
          <w:p>
            <w:pPr>
              <w:pStyle w:val="Compact"/>
              <w:jc w:val="center"/>
            </w:pPr>
            <w:r>
              <w:t xml:space="preserve">108726</w:t>
            </w:r>
          </w:p>
        </w:tc>
        <w:tc>
          <w:p>
            <w:pPr>
              <w:pStyle w:val="Compact"/>
              <w:jc w:val="center"/>
            </w:pPr>
            <w:r>
              <w:t xml:space="preserve">7.135</w:t>
            </w:r>
          </w:p>
        </w:tc>
        <w:tc>
          <w:p>
            <w:pPr>
              <w:pStyle w:val="Compact"/>
              <w:jc w:val="center"/>
            </w:pPr>
            <w:r>
              <w:t xml:space="preserve">1.201</w:t>
            </w:r>
          </w:p>
        </w:tc>
        <w:tc>
          <w:p>
            <w:pPr>
              <w:pStyle w:val="Compact"/>
              <w:jc w:val="center"/>
            </w:pPr>
            <w:r>
              <w:t xml:space="preserve">1.104e-05</w:t>
            </w:r>
          </w:p>
        </w:tc>
      </w:tr>
      <w:tr>
        <w:tc>
          <w:p>
            <w:pPr>
              <w:pStyle w:val="Compact"/>
              <w:jc w:val="center"/>
            </w:pPr>
            <w:r>
              <w:t xml:space="preserve">0809</w:t>
            </w:r>
          </w:p>
        </w:tc>
        <w:tc>
          <w:p>
            <w:pPr>
              <w:pStyle w:val="Compact"/>
              <w:jc w:val="center"/>
            </w:pPr>
            <w:r>
              <w:t xml:space="preserve">52825</w:t>
            </w:r>
          </w:p>
        </w:tc>
        <w:tc>
          <w:p>
            <w:pPr>
              <w:pStyle w:val="Compact"/>
              <w:jc w:val="center"/>
            </w:pPr>
            <w:r>
              <w:t xml:space="preserve">5.645</w:t>
            </w:r>
          </w:p>
        </w:tc>
        <w:tc>
          <w:p>
            <w:pPr>
              <w:pStyle w:val="Compact"/>
              <w:jc w:val="center"/>
            </w:pPr>
            <w:r>
              <w:t xml:space="preserve">2.023</w:t>
            </w:r>
          </w:p>
        </w:tc>
        <w:tc>
          <w:p>
            <w:pPr>
              <w:pStyle w:val="Compact"/>
              <w:jc w:val="center"/>
            </w:pPr>
            <w:r>
              <w:t xml:space="preserve">3.829e-05</w:t>
            </w:r>
          </w:p>
        </w:tc>
      </w:tr>
      <w:tr>
        <w:tc>
          <w:p>
            <w:pPr>
              <w:pStyle w:val="Compact"/>
              <w:jc w:val="center"/>
            </w:pPr>
            <w:r>
              <w:t xml:space="preserve">1011</w:t>
            </w:r>
          </w:p>
        </w:tc>
        <w:tc>
          <w:p>
            <w:pPr>
              <w:pStyle w:val="Compact"/>
              <w:jc w:val="center"/>
            </w:pPr>
            <w:r>
              <w:t xml:space="preserve">21445</w:t>
            </w:r>
          </w:p>
        </w:tc>
        <w:tc>
          <w:p>
            <w:pPr>
              <w:pStyle w:val="Compact"/>
              <w:jc w:val="center"/>
            </w:pPr>
            <w:r>
              <w:t xml:space="preserve">5.06</w:t>
            </w:r>
          </w:p>
        </w:tc>
        <w:tc>
          <w:p>
            <w:pPr>
              <w:pStyle w:val="Compact"/>
              <w:jc w:val="center"/>
            </w:pPr>
            <w:r>
              <w:t xml:space="preserve">2.842</w:t>
            </w:r>
          </w:p>
        </w:tc>
        <w:tc>
          <w:p>
            <w:pPr>
              <w:pStyle w:val="Compact"/>
              <w:jc w:val="center"/>
            </w:pPr>
            <w:r>
              <w:t xml:space="preserve">0.0001325</w:t>
            </w:r>
          </w:p>
        </w:tc>
      </w:tr>
      <w:tr>
        <w:tc>
          <w:p>
            <w:pPr>
              <w:pStyle w:val="Compact"/>
              <w:jc w:val="center"/>
            </w:pPr>
            <w:r>
              <w:t xml:space="preserve">1213</w:t>
            </w:r>
          </w:p>
        </w:tc>
        <w:tc>
          <w:p>
            <w:pPr>
              <w:pStyle w:val="Compact"/>
              <w:jc w:val="center"/>
            </w:pPr>
            <w:r>
              <w:t xml:space="preserve">16435</w:t>
            </w:r>
          </w:p>
        </w:tc>
        <w:tc>
          <w:p>
            <w:pPr>
              <w:pStyle w:val="Compact"/>
              <w:jc w:val="center"/>
            </w:pPr>
            <w:r>
              <w:t xml:space="preserve">4.503</w:t>
            </w:r>
          </w:p>
        </w:tc>
        <w:tc>
          <w:p>
            <w:pPr>
              <w:pStyle w:val="Compact"/>
              <w:jc w:val="center"/>
            </w:pPr>
            <w:r>
              <w:t xml:space="preserve">2.569</w:t>
            </w:r>
          </w:p>
        </w:tc>
        <w:tc>
          <w:p>
            <w:pPr>
              <w:pStyle w:val="Compact"/>
              <w:jc w:val="center"/>
            </w:pPr>
            <w:r>
              <w:t xml:space="preserve">0.0001563</w:t>
            </w:r>
          </w:p>
        </w:tc>
      </w:tr>
      <w:tr>
        <w:tc>
          <w:p>
            <w:pPr>
              <w:pStyle w:val="Compact"/>
              <w:jc w:val="center"/>
            </w:pPr>
            <w:r>
              <w:t xml:space="preserve">1415</w:t>
            </w:r>
          </w:p>
        </w:tc>
        <w:tc>
          <w:p>
            <w:pPr>
              <w:pStyle w:val="Compact"/>
              <w:jc w:val="center"/>
            </w:pPr>
            <w:r>
              <w:t xml:space="preserve">18022</w:t>
            </w:r>
          </w:p>
        </w:tc>
        <w:tc>
          <w:p>
            <w:pPr>
              <w:pStyle w:val="Compact"/>
              <w:jc w:val="center"/>
            </w:pPr>
            <w:r>
              <w:t xml:space="preserve">4.776</w:t>
            </w:r>
          </w:p>
        </w:tc>
        <w:tc>
          <w:p>
            <w:pPr>
              <w:pStyle w:val="Compact"/>
              <w:jc w:val="center"/>
            </w:pPr>
            <w:r>
              <w:t xml:space="preserve">2.349</w:t>
            </w:r>
          </w:p>
        </w:tc>
        <w:tc>
          <w:p>
            <w:pPr>
              <w:pStyle w:val="Compact"/>
              <w:jc w:val="center"/>
            </w:pPr>
            <w:r>
              <w:t xml:space="preserve">0.0001303</w:t>
            </w:r>
          </w:p>
        </w:tc>
      </w:tr>
      <w:tr>
        <w:tc>
          <w:p>
            <w:pPr>
              <w:pStyle w:val="Compact"/>
              <w:jc w:val="center"/>
            </w:pPr>
            <w:r>
              <w:t xml:space="preserve">1617</w:t>
            </w:r>
          </w:p>
        </w:tc>
        <w:tc>
          <w:p>
            <w:pPr>
              <w:pStyle w:val="Compact"/>
              <w:jc w:val="center"/>
            </w:pPr>
            <w:r>
              <w:t xml:space="preserve">10284</w:t>
            </w:r>
          </w:p>
        </w:tc>
        <w:tc>
          <w:p>
            <w:pPr>
              <w:pStyle w:val="Compact"/>
              <w:jc w:val="center"/>
            </w:pPr>
            <w:r>
              <w:t xml:space="preserve">5.156</w:t>
            </w:r>
          </w:p>
        </w:tc>
        <w:tc>
          <w:p>
            <w:pPr>
              <w:pStyle w:val="Compact"/>
              <w:jc w:val="center"/>
            </w:pPr>
            <w:r>
              <w:t xml:space="preserve">2.742</w:t>
            </w:r>
          </w:p>
        </w:tc>
        <w:tc>
          <w:p>
            <w:pPr>
              <w:pStyle w:val="Compact"/>
              <w:jc w:val="center"/>
            </w:pPr>
            <w:r>
              <w:t xml:space="preserve">0.0002666</w:t>
            </w:r>
          </w:p>
        </w:tc>
      </w:tr>
      <w:tr>
        <w:tc>
          <w:p>
            <w:pPr>
              <w:pStyle w:val="Compact"/>
              <w:jc w:val="center"/>
            </w:pPr>
            <w:r>
              <w:t xml:space="preserve">1823</w:t>
            </w:r>
          </w:p>
        </w:tc>
        <w:tc>
          <w:p>
            <w:pPr>
              <w:pStyle w:val="Compact"/>
              <w:jc w:val="center"/>
            </w:pPr>
            <w:r>
              <w:t xml:space="preserve">36016</w:t>
            </w:r>
          </w:p>
        </w:tc>
        <w:tc>
          <w:p>
            <w:pPr>
              <w:pStyle w:val="Compact"/>
              <w:jc w:val="center"/>
            </w:pPr>
            <w:r>
              <w:t xml:space="preserve">5.624</w:t>
            </w:r>
          </w:p>
        </w:tc>
        <w:tc>
          <w:p>
            <w:pPr>
              <w:pStyle w:val="Compact"/>
              <w:jc w:val="center"/>
            </w:pPr>
            <w:r>
              <w:t xml:space="preserve">1.804</w:t>
            </w:r>
          </w:p>
        </w:tc>
        <w:tc>
          <w:p>
            <w:pPr>
              <w:pStyle w:val="Compact"/>
              <w:jc w:val="center"/>
            </w:pPr>
            <w:r>
              <w:t xml:space="preserve">5.009e-05</w:t>
            </w:r>
          </w:p>
        </w:tc>
      </w:tr>
    </w:tbl>
    <w:p>
      <w:pPr>
        <w:pStyle w:val="BodyText"/>
      </w:pPr>
      <w:r>
        <w:t xml:space="preserve">The HourBinned variable does display some differences in standard deviation. Please note that the over night and late evening hours were dropped from the model. An explanation for a penalty (4x multiplier on P-Value) we have applied to account for the variance in standard deviation may be found in the appendix section titled: 2-way ANOVA violation in SD.</w:t>
      </w:r>
    </w:p>
    <w:p>
      <w:pPr>
        <w:pStyle w:val="BodyText"/>
      </w:pPr>
      <w:r>
        <w:t xml:space="preserve">The following graph shows that the mean log of the delivery time varies by the time of day and has a different standard deviation during times of high loads.</w:t>
      </w:r>
    </w:p>
    <w:p>
      <w:pPr>
        <w:pStyle w:val="BodyText"/>
      </w:pPr>
      <w:r>
        <w:drawing>
          <wp:inline>
            <wp:extent cx="6699183" cy="3696101"/>
            <wp:effectExtent b="0" l="0" r="0" t="0"/>
            <wp:docPr descr="" title="" id="1" name="Picture"/>
            <a:graphic>
              <a:graphicData uri="http://schemas.openxmlformats.org/drawingml/2006/picture">
                <pic:pic>
                  <pic:nvPicPr>
                    <pic:cNvPr descr="index_files/figure-docx/plotbySrvHour-1.png" id="0" name="Picture"/>
                    <pic:cNvPicPr>
                      <a:picLocks noChangeArrowheads="1" noChangeAspect="1"/>
                    </pic:cNvPicPr>
                  </pic:nvPicPr>
                  <pic:blipFill>
                    <a:blip r:embed="rId62"/>
                    <a:stretch>
                      <a:fillRect/>
                    </a:stretch>
                  </pic:blipFill>
                  <pic:spPr bwMode="auto">
                    <a:xfrm>
                      <a:off x="0" y="0"/>
                      <a:ext cx="6699183" cy="3696101"/>
                    </a:xfrm>
                    <a:prstGeom prst="rect">
                      <a:avLst/>
                    </a:prstGeom>
                    <a:noFill/>
                    <a:ln w="9525">
                      <a:noFill/>
                      <a:headEnd/>
                      <a:tailEnd/>
                    </a:ln>
                  </pic:spPr>
                </pic:pic>
              </a:graphicData>
            </a:graphic>
          </wp:inline>
        </w:drawing>
      </w:r>
    </w:p>
    <w:p>
      <w:pPr>
        <w:pStyle w:val="BodyText"/>
      </w:pPr>
      <w:r>
        <w:t xml:space="preserve">The following plots were created to further check for normality</w:t>
      </w:r>
    </w:p>
    <w:p>
      <w:pPr>
        <w:pStyle w:val="BodyText"/>
      </w:pPr>
      <w:r>
        <w:drawing>
          <wp:inline>
            <wp:extent cx="6699183" cy="2772075"/>
            <wp:effectExtent b="0" l="0" r="0" t="0"/>
            <wp:docPr descr="" title="" id="1" name="Picture"/>
            <a:graphic>
              <a:graphicData uri="http://schemas.openxmlformats.org/drawingml/2006/picture">
                <pic:pic>
                  <pic:nvPicPr>
                    <pic:cNvPr descr="index_files/figure-docx/loggedResponseResidual-1.png" id="0" name="Picture"/>
                    <pic:cNvPicPr>
                      <a:picLocks noChangeArrowheads="1" noChangeAspect="1"/>
                    </pic:cNvPicPr>
                  </pic:nvPicPr>
                  <pic:blipFill>
                    <a:blip r:embed="rId63"/>
                    <a:stretch>
                      <a:fillRect/>
                    </a:stretch>
                  </pic:blipFill>
                  <pic:spPr bwMode="auto">
                    <a:xfrm>
                      <a:off x="0" y="0"/>
                      <a:ext cx="6699183" cy="2772075"/>
                    </a:xfrm>
                    <a:prstGeom prst="rect">
                      <a:avLst/>
                    </a:prstGeom>
                    <a:noFill/>
                    <a:ln w="9525">
                      <a:noFill/>
                      <a:headEnd/>
                      <a:tailEnd/>
                    </a:ln>
                  </pic:spPr>
                </pic:pic>
              </a:graphicData>
            </a:graphic>
          </wp:inline>
        </w:drawing>
      </w:r>
      <w:r>
        <w:t xml:space="preserve"> </w:t>
      </w:r>
      <w:r>
        <w:t xml:space="preserve">Residuals, Q-Q plot, and the Histogram all support the assumption of normality.</w:t>
      </w:r>
    </w:p>
    <w:p>
      <w:pPr>
        <w:pStyle w:val="Heading2"/>
      </w:pPr>
      <w:bookmarkStart w:id="64" w:name="way-anova-results"/>
      <w:r>
        <w:t xml:space="preserve">2-Way ANOVA Results</w:t>
      </w:r>
      <w:bookmarkEnd w:id="64"/>
    </w:p>
    <w:p>
      <w:pPr>
        <w:pStyle w:val="FirstParagraph"/>
      </w:pPr>
      <w:r>
        <w:t xml:space="preserve">Finally, a pairwise comparison based upon server and HourBinned was run. Remember to adjust p-value by a factor of four due to the unequal variance and sample sizes.</w:t>
      </w:r>
    </w:p>
    <w:p>
      <w:pPr>
        <w:numPr>
          <w:numId w:val="1006"/>
          <w:ilvl w:val="0"/>
        </w:numPr>
      </w:pPr>
      <w:r>
        <w:rPr>
          <w:b/>
        </w:rPr>
        <w:t xml:space="preserve">Server</w:t>
      </w:r>
      <w:r>
        <w:t xml:space="preserve">:</w:t>
      </w:r>
    </w:p>
    <w:tbl>
      <w:tblPr>
        <w:tblStyle w:val="Table"/>
        <w:tblW w:type="pct" w:w="4583.333333333334"/>
        <w:tblLook w:firstRow="1"/>
      </w:tblPr>
      <w:tblGrid>
        <w:gridCol w:w="2420"/>
        <w:gridCol w:w="1210"/>
        <w:gridCol w:w="1100"/>
        <w:gridCol w:w="1210"/>
        <w:gridCol w:w="1320"/>
      </w:tblGrid>
      <w:tr>
        <w:trPr>
          <w:cnfStyle w:firstRow="1"/>
        </w:trPr>
        <w:tc>
          <w:tcPr>
            <w:tcBorders>
              <w:bottom w:val="single"/>
            </w:tcBorders>
            <w:vAlign w:val="bottom"/>
          </w:tcPr>
          <w:p>
            <w:pPr>
              <w:pStyle w:val="Compact"/>
              <w:jc w:val="center"/>
              <w:numPr>
                <w:numId w:val="1000"/>
                <w:ilvl w:val="0"/>
              </w:numPr>
            </w:pPr>
            <w:r>
              <w:t xml:space="preserve"> </w:t>
            </w:r>
          </w:p>
        </w:tc>
        <w:tc>
          <w:tcPr>
            <w:tcBorders>
              <w:bottom w:val="single"/>
            </w:tcBorders>
            <w:vAlign w:val="bottom"/>
          </w:tcPr>
          <w:p>
            <w:pPr>
              <w:pStyle w:val="Compact"/>
              <w:jc w:val="center"/>
              <w:numPr>
                <w:numId w:val="1000"/>
                <w:ilvl w:val="0"/>
              </w:numPr>
            </w:pPr>
            <w:r>
              <w:t xml:space="preserve">diff</w:t>
            </w:r>
          </w:p>
        </w:tc>
        <w:tc>
          <w:tcPr>
            <w:tcBorders>
              <w:bottom w:val="single"/>
            </w:tcBorders>
            <w:vAlign w:val="bottom"/>
          </w:tcPr>
          <w:p>
            <w:pPr>
              <w:pStyle w:val="Compact"/>
              <w:jc w:val="center"/>
              <w:numPr>
                <w:numId w:val="1000"/>
                <w:ilvl w:val="0"/>
              </w:numPr>
            </w:pPr>
            <w:r>
              <w:t xml:space="preserve">lwr</w:t>
            </w:r>
          </w:p>
        </w:tc>
        <w:tc>
          <w:tcPr>
            <w:tcBorders>
              <w:bottom w:val="single"/>
            </w:tcBorders>
            <w:vAlign w:val="bottom"/>
          </w:tcPr>
          <w:p>
            <w:pPr>
              <w:pStyle w:val="Compact"/>
              <w:jc w:val="center"/>
              <w:numPr>
                <w:numId w:val="1000"/>
                <w:ilvl w:val="0"/>
              </w:numPr>
            </w:pPr>
            <w:r>
              <w:t xml:space="preserve">upr</w:t>
            </w:r>
          </w:p>
        </w:tc>
        <w:tc>
          <w:tcPr>
            <w:tcBorders>
              <w:bottom w:val="single"/>
            </w:tcBorders>
            <w:vAlign w:val="bottom"/>
          </w:tcPr>
          <w:p>
            <w:pPr>
              <w:pStyle w:val="Compact"/>
              <w:jc w:val="center"/>
              <w:numPr>
                <w:numId w:val="1000"/>
                <w:ilvl w:val="0"/>
              </w:numPr>
            </w:pPr>
            <w:r>
              <w:t xml:space="preserve">p adj</w:t>
            </w:r>
          </w:p>
        </w:tc>
      </w:tr>
      <w:tr>
        <w:tc>
          <w:p>
            <w:pPr>
              <w:pStyle w:val="Compact"/>
              <w:jc w:val="center"/>
              <w:numPr>
                <w:numId w:val="1000"/>
                <w:ilvl w:val="0"/>
              </w:numPr>
            </w:pPr>
            <w:r>
              <w:rPr>
                <w:b/>
              </w:rPr>
              <w:t xml:space="preserve">SQLODR3-SQLODR2</w:t>
            </w:r>
          </w:p>
        </w:tc>
        <w:tc>
          <w:p>
            <w:pPr>
              <w:pStyle w:val="Compact"/>
              <w:jc w:val="center"/>
              <w:numPr>
                <w:numId w:val="1000"/>
                <w:ilvl w:val="0"/>
              </w:numPr>
            </w:pPr>
            <w:r>
              <w:t xml:space="preserve">-0.1752</w:t>
            </w:r>
          </w:p>
        </w:tc>
        <w:tc>
          <w:p>
            <w:pPr>
              <w:pStyle w:val="Compact"/>
              <w:jc w:val="center"/>
              <w:numPr>
                <w:numId w:val="1000"/>
                <w:ilvl w:val="0"/>
              </w:numPr>
            </w:pPr>
            <w:r>
              <w:t xml:space="preserve">-0.197</w:t>
            </w:r>
          </w:p>
        </w:tc>
        <w:tc>
          <w:p>
            <w:pPr>
              <w:pStyle w:val="Compact"/>
              <w:jc w:val="center"/>
              <w:numPr>
                <w:numId w:val="1000"/>
                <w:ilvl w:val="0"/>
              </w:numPr>
            </w:pPr>
            <w:r>
              <w:t xml:space="preserve">-0.1535</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SQLODR6-SQLODR2</w:t>
            </w:r>
          </w:p>
        </w:tc>
        <w:tc>
          <w:p>
            <w:pPr>
              <w:pStyle w:val="Compact"/>
              <w:jc w:val="center"/>
              <w:numPr>
                <w:numId w:val="1000"/>
                <w:ilvl w:val="0"/>
              </w:numPr>
            </w:pPr>
            <w:r>
              <w:t xml:space="preserve">-0.08158</w:t>
            </w:r>
          </w:p>
        </w:tc>
        <w:tc>
          <w:p>
            <w:pPr>
              <w:pStyle w:val="Compact"/>
              <w:jc w:val="center"/>
              <w:numPr>
                <w:numId w:val="1000"/>
                <w:ilvl w:val="0"/>
              </w:numPr>
            </w:pPr>
            <w:r>
              <w:t xml:space="preserve">-0.1021</w:t>
            </w:r>
          </w:p>
        </w:tc>
        <w:tc>
          <w:p>
            <w:pPr>
              <w:pStyle w:val="Compact"/>
              <w:jc w:val="center"/>
              <w:numPr>
                <w:numId w:val="1000"/>
                <w:ilvl w:val="0"/>
              </w:numPr>
            </w:pPr>
            <w:r>
              <w:t xml:space="preserve">-0.06106</w:t>
            </w:r>
          </w:p>
        </w:tc>
        <w:tc>
          <w:p>
            <w:pPr>
              <w:pStyle w:val="Compact"/>
              <w:jc w:val="center"/>
              <w:numPr>
                <w:numId w:val="1000"/>
                <w:ilvl w:val="0"/>
              </w:numPr>
            </w:pPr>
            <w:r>
              <w:t xml:space="preserve">3.031e-14</w:t>
            </w:r>
          </w:p>
        </w:tc>
      </w:tr>
      <w:tr>
        <w:tc>
          <w:p>
            <w:pPr>
              <w:pStyle w:val="Compact"/>
              <w:jc w:val="center"/>
              <w:numPr>
                <w:numId w:val="1000"/>
                <w:ilvl w:val="0"/>
              </w:numPr>
            </w:pPr>
            <w:r>
              <w:rPr>
                <w:b/>
              </w:rPr>
              <w:t xml:space="preserve">SQLODR6-SQLODR3</w:t>
            </w:r>
          </w:p>
        </w:tc>
        <w:tc>
          <w:p>
            <w:pPr>
              <w:pStyle w:val="Compact"/>
              <w:jc w:val="center"/>
              <w:numPr>
                <w:numId w:val="1000"/>
                <w:ilvl w:val="0"/>
              </w:numPr>
            </w:pPr>
            <w:r>
              <w:t xml:space="preserve">0.09364</w:t>
            </w:r>
          </w:p>
        </w:tc>
        <w:tc>
          <w:p>
            <w:pPr>
              <w:pStyle w:val="Compact"/>
              <w:jc w:val="center"/>
              <w:numPr>
                <w:numId w:val="1000"/>
                <w:ilvl w:val="0"/>
              </w:numPr>
            </w:pPr>
            <w:r>
              <w:t xml:space="preserve">0.07206</w:t>
            </w:r>
          </w:p>
        </w:tc>
        <w:tc>
          <w:p>
            <w:pPr>
              <w:pStyle w:val="Compact"/>
              <w:jc w:val="center"/>
              <w:numPr>
                <w:numId w:val="1000"/>
                <w:ilvl w:val="0"/>
              </w:numPr>
            </w:pPr>
            <w:r>
              <w:t xml:space="preserve">0.1152</w:t>
            </w:r>
          </w:p>
        </w:tc>
        <w:tc>
          <w:p>
            <w:pPr>
              <w:pStyle w:val="Compact"/>
              <w:jc w:val="center"/>
              <w:numPr>
                <w:numId w:val="1000"/>
                <w:ilvl w:val="0"/>
              </w:numPr>
            </w:pPr>
            <w:r>
              <w:t xml:space="preserve">2.764e-14</w:t>
            </w:r>
          </w:p>
        </w:tc>
      </w:tr>
    </w:tbl>
    <w:p>
      <w:pPr>
        <w:numPr>
          <w:numId w:val="1007"/>
          <w:ilvl w:val="0"/>
        </w:numPr>
      </w:pPr>
      <w:r>
        <w:rPr>
          <w:b/>
        </w:rPr>
        <w:t xml:space="preserve">HourBinned</w:t>
      </w:r>
      <w:r>
        <w:t xml:space="preserve">:</w:t>
      </w:r>
    </w:p>
    <w:tbl>
      <w:tblPr>
        <w:tblStyle w:val="Table"/>
        <w:tblW w:type="pct" w:w="4027.777777777778"/>
        <w:tblLook w:firstRow="1"/>
      </w:tblPr>
      <w:tblGrid>
        <w:gridCol w:w="1760"/>
        <w:gridCol w:w="1210"/>
        <w:gridCol w:w="1210"/>
        <w:gridCol w:w="1100"/>
        <w:gridCol w:w="1100"/>
      </w:tblGrid>
      <w:tr>
        <w:trPr>
          <w:cnfStyle w:firstRow="1"/>
        </w:trPr>
        <w:tc>
          <w:tcPr>
            <w:tcBorders>
              <w:bottom w:val="single"/>
            </w:tcBorders>
            <w:vAlign w:val="bottom"/>
          </w:tcPr>
          <w:p>
            <w:pPr>
              <w:pStyle w:val="Compact"/>
              <w:jc w:val="center"/>
              <w:numPr>
                <w:numId w:val="1000"/>
                <w:ilvl w:val="0"/>
              </w:numPr>
            </w:pPr>
            <w:r>
              <w:t xml:space="preserve"> </w:t>
            </w:r>
          </w:p>
        </w:tc>
        <w:tc>
          <w:tcPr>
            <w:tcBorders>
              <w:bottom w:val="single"/>
            </w:tcBorders>
            <w:vAlign w:val="bottom"/>
          </w:tcPr>
          <w:p>
            <w:pPr>
              <w:pStyle w:val="Compact"/>
              <w:jc w:val="center"/>
              <w:numPr>
                <w:numId w:val="1000"/>
                <w:ilvl w:val="0"/>
              </w:numPr>
            </w:pPr>
            <w:r>
              <w:t xml:space="preserve">diff</w:t>
            </w:r>
          </w:p>
        </w:tc>
        <w:tc>
          <w:tcPr>
            <w:tcBorders>
              <w:bottom w:val="single"/>
            </w:tcBorders>
            <w:vAlign w:val="bottom"/>
          </w:tcPr>
          <w:p>
            <w:pPr>
              <w:pStyle w:val="Compact"/>
              <w:jc w:val="center"/>
              <w:numPr>
                <w:numId w:val="1000"/>
                <w:ilvl w:val="0"/>
              </w:numPr>
            </w:pPr>
            <w:r>
              <w:t xml:space="preserve">lwr</w:t>
            </w:r>
          </w:p>
        </w:tc>
        <w:tc>
          <w:tcPr>
            <w:tcBorders>
              <w:bottom w:val="single"/>
            </w:tcBorders>
            <w:vAlign w:val="bottom"/>
          </w:tcPr>
          <w:p>
            <w:pPr>
              <w:pStyle w:val="Compact"/>
              <w:jc w:val="center"/>
              <w:numPr>
                <w:numId w:val="1000"/>
                <w:ilvl w:val="0"/>
              </w:numPr>
            </w:pPr>
            <w:r>
              <w:t xml:space="preserve">upr</w:t>
            </w:r>
          </w:p>
        </w:tc>
        <w:tc>
          <w:tcPr>
            <w:tcBorders>
              <w:bottom w:val="single"/>
            </w:tcBorders>
            <w:vAlign w:val="bottom"/>
          </w:tcPr>
          <w:p>
            <w:pPr>
              <w:pStyle w:val="Compact"/>
              <w:jc w:val="center"/>
              <w:numPr>
                <w:numId w:val="1000"/>
                <w:ilvl w:val="0"/>
              </w:numPr>
            </w:pPr>
            <w:r>
              <w:t xml:space="preserve">p adj</w:t>
            </w:r>
          </w:p>
        </w:tc>
      </w:tr>
      <w:tr>
        <w:tc>
          <w:p>
            <w:pPr>
              <w:pStyle w:val="Compact"/>
              <w:jc w:val="center"/>
              <w:numPr>
                <w:numId w:val="1000"/>
                <w:ilvl w:val="0"/>
              </w:numPr>
            </w:pPr>
            <w:r>
              <w:rPr>
                <w:b/>
              </w:rPr>
              <w:t xml:space="preserve">0809-0607</w:t>
            </w:r>
          </w:p>
        </w:tc>
        <w:tc>
          <w:p>
            <w:pPr>
              <w:pStyle w:val="Compact"/>
              <w:jc w:val="center"/>
              <w:numPr>
                <w:numId w:val="1000"/>
                <w:ilvl w:val="0"/>
              </w:numPr>
            </w:pPr>
            <w:r>
              <w:t xml:space="preserve">-1.486</w:t>
            </w:r>
          </w:p>
        </w:tc>
        <w:tc>
          <w:p>
            <w:pPr>
              <w:pStyle w:val="Compact"/>
              <w:jc w:val="center"/>
              <w:numPr>
                <w:numId w:val="1000"/>
                <w:ilvl w:val="0"/>
              </w:numPr>
            </w:pPr>
            <w:r>
              <w:t xml:space="preserve">-1.516</w:t>
            </w:r>
          </w:p>
        </w:tc>
        <w:tc>
          <w:p>
            <w:pPr>
              <w:pStyle w:val="Compact"/>
              <w:jc w:val="center"/>
              <w:numPr>
                <w:numId w:val="1000"/>
                <w:ilvl w:val="0"/>
              </w:numPr>
            </w:pPr>
            <w:r>
              <w:t xml:space="preserve">-1.456</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1011-0607</w:t>
            </w:r>
          </w:p>
        </w:tc>
        <w:tc>
          <w:p>
            <w:pPr>
              <w:pStyle w:val="Compact"/>
              <w:jc w:val="center"/>
              <w:numPr>
                <w:numId w:val="1000"/>
                <w:ilvl w:val="0"/>
              </w:numPr>
            </w:pPr>
            <w:r>
              <w:t xml:space="preserve">-2.073</w:t>
            </w:r>
          </w:p>
        </w:tc>
        <w:tc>
          <w:p>
            <w:pPr>
              <w:pStyle w:val="Compact"/>
              <w:jc w:val="center"/>
              <w:numPr>
                <w:numId w:val="1000"/>
                <w:ilvl w:val="0"/>
              </w:numPr>
            </w:pPr>
            <w:r>
              <w:t xml:space="preserve">-2.114</w:t>
            </w:r>
          </w:p>
        </w:tc>
        <w:tc>
          <w:p>
            <w:pPr>
              <w:pStyle w:val="Compact"/>
              <w:jc w:val="center"/>
              <w:numPr>
                <w:numId w:val="1000"/>
                <w:ilvl w:val="0"/>
              </w:numPr>
            </w:pPr>
            <w:r>
              <w:t xml:space="preserve">-2.031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1213-0607</w:t>
            </w:r>
          </w:p>
        </w:tc>
        <w:tc>
          <w:p>
            <w:pPr>
              <w:pStyle w:val="Compact"/>
              <w:jc w:val="center"/>
              <w:numPr>
                <w:numId w:val="1000"/>
                <w:ilvl w:val="0"/>
              </w:numPr>
            </w:pPr>
            <w:r>
              <w:t xml:space="preserve">-2.628</w:t>
            </w:r>
          </w:p>
        </w:tc>
        <w:tc>
          <w:p>
            <w:pPr>
              <w:pStyle w:val="Compact"/>
              <w:jc w:val="center"/>
              <w:numPr>
                <w:numId w:val="1000"/>
                <w:ilvl w:val="0"/>
              </w:numPr>
            </w:pPr>
            <w:r>
              <w:t xml:space="preserve">-2.674</w:t>
            </w:r>
          </w:p>
        </w:tc>
        <w:tc>
          <w:p>
            <w:pPr>
              <w:pStyle w:val="Compact"/>
              <w:jc w:val="center"/>
              <w:numPr>
                <w:numId w:val="1000"/>
                <w:ilvl w:val="0"/>
              </w:numPr>
            </w:pPr>
            <w:r>
              <w:t xml:space="preserve">-2.581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1415-0607</w:t>
            </w:r>
          </w:p>
        </w:tc>
        <w:tc>
          <w:p>
            <w:pPr>
              <w:pStyle w:val="Compact"/>
              <w:jc w:val="center"/>
              <w:numPr>
                <w:numId w:val="1000"/>
                <w:ilvl w:val="0"/>
              </w:numPr>
            </w:pPr>
            <w:r>
              <w:t xml:space="preserve">-2.355</w:t>
            </w:r>
          </w:p>
        </w:tc>
        <w:tc>
          <w:p>
            <w:pPr>
              <w:pStyle w:val="Compact"/>
              <w:jc w:val="center"/>
              <w:numPr>
                <w:numId w:val="1000"/>
                <w:ilvl w:val="0"/>
              </w:numPr>
            </w:pPr>
            <w:r>
              <w:t xml:space="preserve">-2.4</w:t>
            </w:r>
          </w:p>
        </w:tc>
        <w:tc>
          <w:p>
            <w:pPr>
              <w:pStyle w:val="Compact"/>
              <w:jc w:val="center"/>
              <w:numPr>
                <w:numId w:val="1000"/>
                <w:ilvl w:val="0"/>
              </w:numPr>
            </w:pPr>
            <w:r>
              <w:t xml:space="preserve">-2.31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1617-0607</w:t>
            </w:r>
          </w:p>
        </w:tc>
        <w:tc>
          <w:p>
            <w:pPr>
              <w:pStyle w:val="Compact"/>
              <w:jc w:val="center"/>
              <w:numPr>
                <w:numId w:val="1000"/>
                <w:ilvl w:val="0"/>
              </w:numPr>
            </w:pPr>
            <w:r>
              <w:t xml:space="preserve">-1.975</w:t>
            </w:r>
          </w:p>
        </w:tc>
        <w:tc>
          <w:p>
            <w:pPr>
              <w:pStyle w:val="Compact"/>
              <w:jc w:val="center"/>
              <w:numPr>
                <w:numId w:val="1000"/>
                <w:ilvl w:val="0"/>
              </w:numPr>
            </w:pPr>
            <w:r>
              <w:t xml:space="preserve">-2.032</w:t>
            </w:r>
          </w:p>
        </w:tc>
        <w:tc>
          <w:p>
            <w:pPr>
              <w:pStyle w:val="Compact"/>
              <w:jc w:val="center"/>
              <w:numPr>
                <w:numId w:val="1000"/>
                <w:ilvl w:val="0"/>
              </w:numPr>
            </w:pPr>
            <w:r>
              <w:t xml:space="preserve">-1.917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1823-0607</w:t>
            </w:r>
          </w:p>
        </w:tc>
        <w:tc>
          <w:p>
            <w:pPr>
              <w:pStyle w:val="Compact"/>
              <w:jc w:val="center"/>
              <w:numPr>
                <w:numId w:val="1000"/>
                <w:ilvl w:val="0"/>
              </w:numPr>
            </w:pPr>
            <w:r>
              <w:t xml:space="preserve">-1.506</w:t>
            </w:r>
          </w:p>
        </w:tc>
        <w:tc>
          <w:p>
            <w:pPr>
              <w:pStyle w:val="Compact"/>
              <w:jc w:val="center"/>
              <w:numPr>
                <w:numId w:val="1000"/>
                <w:ilvl w:val="0"/>
              </w:numPr>
            </w:pPr>
            <w:r>
              <w:t xml:space="preserve">-1.54</w:t>
            </w:r>
          </w:p>
        </w:tc>
        <w:tc>
          <w:p>
            <w:pPr>
              <w:pStyle w:val="Compact"/>
              <w:jc w:val="center"/>
              <w:numPr>
                <w:numId w:val="1000"/>
                <w:ilvl w:val="0"/>
              </w:numPr>
            </w:pPr>
            <w:r>
              <w:t xml:space="preserve">-1.472</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1011-0809</w:t>
            </w:r>
          </w:p>
        </w:tc>
        <w:tc>
          <w:p>
            <w:pPr>
              <w:pStyle w:val="Compact"/>
              <w:jc w:val="center"/>
              <w:numPr>
                <w:numId w:val="1000"/>
                <w:ilvl w:val="0"/>
              </w:numPr>
            </w:pPr>
            <w:r>
              <w:t xml:space="preserve">-0.5866</w:t>
            </w:r>
          </w:p>
        </w:tc>
        <w:tc>
          <w:p>
            <w:pPr>
              <w:pStyle w:val="Compact"/>
              <w:jc w:val="center"/>
              <w:numPr>
                <w:numId w:val="1000"/>
                <w:ilvl w:val="0"/>
              </w:numPr>
            </w:pPr>
            <w:r>
              <w:t xml:space="preserve">-0.6318</w:t>
            </w:r>
          </w:p>
        </w:tc>
        <w:tc>
          <w:p>
            <w:pPr>
              <w:pStyle w:val="Compact"/>
              <w:jc w:val="center"/>
              <w:numPr>
                <w:numId w:val="1000"/>
                <w:ilvl w:val="0"/>
              </w:numPr>
            </w:pPr>
            <w:r>
              <w:t xml:space="preserve">-0.5413</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1213-0809</w:t>
            </w:r>
          </w:p>
        </w:tc>
        <w:tc>
          <w:p>
            <w:pPr>
              <w:pStyle w:val="Compact"/>
              <w:jc w:val="center"/>
              <w:numPr>
                <w:numId w:val="1000"/>
                <w:ilvl w:val="0"/>
              </w:numPr>
            </w:pPr>
            <w:r>
              <w:t xml:space="preserve">-1.141</w:t>
            </w:r>
          </w:p>
        </w:tc>
        <w:tc>
          <w:p>
            <w:pPr>
              <w:pStyle w:val="Compact"/>
              <w:jc w:val="center"/>
              <w:numPr>
                <w:numId w:val="1000"/>
                <w:ilvl w:val="0"/>
              </w:numPr>
            </w:pPr>
            <w:r>
              <w:t xml:space="preserve">-1.191</w:t>
            </w:r>
          </w:p>
        </w:tc>
        <w:tc>
          <w:p>
            <w:pPr>
              <w:pStyle w:val="Compact"/>
              <w:jc w:val="center"/>
              <w:numPr>
                <w:numId w:val="1000"/>
                <w:ilvl w:val="0"/>
              </w:numPr>
            </w:pPr>
            <w:r>
              <w:t xml:space="preserve">-1.092</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1415-0809</w:t>
            </w:r>
          </w:p>
        </w:tc>
        <w:tc>
          <w:p>
            <w:pPr>
              <w:pStyle w:val="Compact"/>
              <w:jc w:val="center"/>
              <w:numPr>
                <w:numId w:val="1000"/>
                <w:ilvl w:val="0"/>
              </w:numPr>
            </w:pPr>
            <w:r>
              <w:t xml:space="preserve">-0.8687</w:t>
            </w:r>
          </w:p>
        </w:tc>
        <w:tc>
          <w:p>
            <w:pPr>
              <w:pStyle w:val="Compact"/>
              <w:jc w:val="center"/>
              <w:numPr>
                <w:numId w:val="1000"/>
                <w:ilvl w:val="0"/>
              </w:numPr>
            </w:pPr>
            <w:r>
              <w:t xml:space="preserve">-0.9169</w:t>
            </w:r>
          </w:p>
        </w:tc>
        <w:tc>
          <w:p>
            <w:pPr>
              <w:pStyle w:val="Compact"/>
              <w:jc w:val="center"/>
              <w:numPr>
                <w:numId w:val="1000"/>
                <w:ilvl w:val="0"/>
              </w:numPr>
            </w:pPr>
            <w:r>
              <w:t xml:space="preserve">-0.8205</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1617-0809</w:t>
            </w:r>
          </w:p>
        </w:tc>
        <w:tc>
          <w:p>
            <w:pPr>
              <w:pStyle w:val="Compact"/>
              <w:jc w:val="center"/>
              <w:numPr>
                <w:numId w:val="1000"/>
                <w:ilvl w:val="0"/>
              </w:numPr>
            </w:pPr>
            <w:r>
              <w:t xml:space="preserve">-0.4888</w:t>
            </w:r>
          </w:p>
        </w:tc>
        <w:tc>
          <w:p>
            <w:pPr>
              <w:pStyle w:val="Compact"/>
              <w:jc w:val="center"/>
              <w:numPr>
                <w:numId w:val="1000"/>
                <w:ilvl w:val="0"/>
              </w:numPr>
            </w:pPr>
            <w:r>
              <w:t xml:space="preserve">-0.549</w:t>
            </w:r>
          </w:p>
        </w:tc>
        <w:tc>
          <w:p>
            <w:pPr>
              <w:pStyle w:val="Compact"/>
              <w:jc w:val="center"/>
              <w:numPr>
                <w:numId w:val="1000"/>
                <w:ilvl w:val="0"/>
              </w:numPr>
            </w:pPr>
            <w:r>
              <w:t xml:space="preserve">-0.4286</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1823-0809</w:t>
            </w:r>
          </w:p>
        </w:tc>
        <w:tc>
          <w:p>
            <w:pPr>
              <w:pStyle w:val="Compact"/>
              <w:jc w:val="center"/>
              <w:numPr>
                <w:numId w:val="1000"/>
                <w:ilvl w:val="0"/>
              </w:numPr>
            </w:pPr>
            <w:r>
              <w:t xml:space="preserve">-0.02034</w:t>
            </w:r>
          </w:p>
        </w:tc>
        <w:tc>
          <w:p>
            <w:pPr>
              <w:pStyle w:val="Compact"/>
              <w:jc w:val="center"/>
              <w:numPr>
                <w:numId w:val="1000"/>
                <w:ilvl w:val="0"/>
              </w:numPr>
            </w:pPr>
            <w:r>
              <w:t xml:space="preserve">-0.05852</w:t>
            </w:r>
          </w:p>
        </w:tc>
        <w:tc>
          <w:p>
            <w:pPr>
              <w:pStyle w:val="Compact"/>
              <w:jc w:val="center"/>
              <w:numPr>
                <w:numId w:val="1000"/>
                <w:ilvl w:val="0"/>
              </w:numPr>
            </w:pPr>
            <w:r>
              <w:t xml:space="preserve">0.01784</w:t>
            </w:r>
          </w:p>
        </w:tc>
        <w:tc>
          <w:p>
            <w:pPr>
              <w:pStyle w:val="Compact"/>
              <w:jc w:val="center"/>
              <w:numPr>
                <w:numId w:val="1000"/>
                <w:ilvl w:val="0"/>
              </w:numPr>
            </w:pPr>
            <w:r>
              <w:t xml:space="preserve">0.7011</w:t>
            </w:r>
          </w:p>
        </w:tc>
      </w:tr>
      <w:tr>
        <w:tc>
          <w:p>
            <w:pPr>
              <w:pStyle w:val="Compact"/>
              <w:jc w:val="center"/>
              <w:numPr>
                <w:numId w:val="1000"/>
                <w:ilvl w:val="0"/>
              </w:numPr>
            </w:pPr>
            <w:r>
              <w:rPr>
                <w:b/>
              </w:rPr>
              <w:t xml:space="preserve">1213-1011</w:t>
            </w:r>
          </w:p>
        </w:tc>
        <w:tc>
          <w:p>
            <w:pPr>
              <w:pStyle w:val="Compact"/>
              <w:jc w:val="center"/>
              <w:numPr>
                <w:numId w:val="1000"/>
                <w:ilvl w:val="0"/>
              </w:numPr>
            </w:pPr>
            <w:r>
              <w:t xml:space="preserve">-0.5549</w:t>
            </w:r>
          </w:p>
        </w:tc>
        <w:tc>
          <w:p>
            <w:pPr>
              <w:pStyle w:val="Compact"/>
              <w:jc w:val="center"/>
              <w:numPr>
                <w:numId w:val="1000"/>
                <w:ilvl w:val="0"/>
              </w:numPr>
            </w:pPr>
            <w:r>
              <w:t xml:space="preserve">-0.6128</w:t>
            </w:r>
          </w:p>
        </w:tc>
        <w:tc>
          <w:p>
            <w:pPr>
              <w:pStyle w:val="Compact"/>
              <w:jc w:val="center"/>
              <w:numPr>
                <w:numId w:val="1000"/>
                <w:ilvl w:val="0"/>
              </w:numPr>
            </w:pPr>
            <w:r>
              <w:t xml:space="preserve">-0.497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1415-1011</w:t>
            </w:r>
          </w:p>
        </w:tc>
        <w:tc>
          <w:p>
            <w:pPr>
              <w:pStyle w:val="Compact"/>
              <w:jc w:val="center"/>
              <w:numPr>
                <w:numId w:val="1000"/>
                <w:ilvl w:val="0"/>
              </w:numPr>
            </w:pPr>
            <w:r>
              <w:t xml:space="preserve">-0.2821</w:t>
            </w:r>
          </w:p>
        </w:tc>
        <w:tc>
          <w:p>
            <w:pPr>
              <w:pStyle w:val="Compact"/>
              <w:jc w:val="center"/>
              <w:numPr>
                <w:numId w:val="1000"/>
                <w:ilvl w:val="0"/>
              </w:numPr>
            </w:pPr>
            <w:r>
              <w:t xml:space="preserve">-0.3386</w:t>
            </w:r>
          </w:p>
        </w:tc>
        <w:tc>
          <w:p>
            <w:pPr>
              <w:pStyle w:val="Compact"/>
              <w:jc w:val="center"/>
              <w:numPr>
                <w:numId w:val="1000"/>
                <w:ilvl w:val="0"/>
              </w:numPr>
            </w:pPr>
            <w:r>
              <w:t xml:space="preserve">-0.2257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1617-1011</w:t>
            </w:r>
          </w:p>
        </w:tc>
        <w:tc>
          <w:p>
            <w:pPr>
              <w:pStyle w:val="Compact"/>
              <w:jc w:val="center"/>
              <w:numPr>
                <w:numId w:val="1000"/>
                <w:ilvl w:val="0"/>
              </w:numPr>
            </w:pPr>
            <w:r>
              <w:t xml:space="preserve">0.09777</w:t>
            </w:r>
          </w:p>
        </w:tc>
        <w:tc>
          <w:p>
            <w:pPr>
              <w:pStyle w:val="Compact"/>
              <w:jc w:val="center"/>
              <w:numPr>
                <w:numId w:val="1000"/>
                <w:ilvl w:val="0"/>
              </w:numPr>
            </w:pPr>
            <w:r>
              <w:t xml:space="preserve">0.03076</w:t>
            </w:r>
          </w:p>
        </w:tc>
        <w:tc>
          <w:p>
            <w:pPr>
              <w:pStyle w:val="Compact"/>
              <w:jc w:val="center"/>
              <w:numPr>
                <w:numId w:val="1000"/>
                <w:ilvl w:val="0"/>
              </w:numPr>
            </w:pPr>
            <w:r>
              <w:t xml:space="preserve">0.1648</w:t>
            </w:r>
          </w:p>
        </w:tc>
        <w:tc>
          <w:p>
            <w:pPr>
              <w:pStyle w:val="Compact"/>
              <w:jc w:val="center"/>
              <w:numPr>
                <w:numId w:val="1000"/>
                <w:ilvl w:val="0"/>
              </w:numPr>
            </w:pPr>
            <w:r>
              <w:t xml:space="preserve">0.00034</w:t>
            </w:r>
          </w:p>
        </w:tc>
      </w:tr>
      <w:tr>
        <w:tc>
          <w:p>
            <w:pPr>
              <w:pStyle w:val="Compact"/>
              <w:jc w:val="center"/>
              <w:numPr>
                <w:numId w:val="1000"/>
                <w:ilvl w:val="0"/>
              </w:numPr>
            </w:pPr>
            <w:r>
              <w:rPr>
                <w:b/>
              </w:rPr>
              <w:t xml:space="preserve">1823-1011</w:t>
            </w:r>
          </w:p>
        </w:tc>
        <w:tc>
          <w:p>
            <w:pPr>
              <w:pStyle w:val="Compact"/>
              <w:jc w:val="center"/>
              <w:numPr>
                <w:numId w:val="1000"/>
                <w:ilvl w:val="0"/>
              </w:numPr>
            </w:pPr>
            <w:r>
              <w:t xml:space="preserve">0.5662</w:t>
            </w:r>
          </w:p>
        </w:tc>
        <w:tc>
          <w:p>
            <w:pPr>
              <w:pStyle w:val="Compact"/>
              <w:jc w:val="center"/>
              <w:numPr>
                <w:numId w:val="1000"/>
                <w:ilvl w:val="0"/>
              </w:numPr>
            </w:pPr>
            <w:r>
              <w:t xml:space="preserve">0.5181</w:t>
            </w:r>
          </w:p>
        </w:tc>
        <w:tc>
          <w:p>
            <w:pPr>
              <w:pStyle w:val="Compact"/>
              <w:jc w:val="center"/>
              <w:numPr>
                <w:numId w:val="1000"/>
                <w:ilvl w:val="0"/>
              </w:numPr>
            </w:pPr>
            <w:r>
              <w:t xml:space="preserve">0.6144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1415-1213</w:t>
            </w:r>
          </w:p>
        </w:tc>
        <w:tc>
          <w:p>
            <w:pPr>
              <w:pStyle w:val="Compact"/>
              <w:jc w:val="center"/>
              <w:numPr>
                <w:numId w:val="1000"/>
                <w:ilvl w:val="0"/>
              </w:numPr>
            </w:pPr>
            <w:r>
              <w:t xml:space="preserve">0.2727</w:t>
            </w:r>
          </w:p>
        </w:tc>
        <w:tc>
          <w:p>
            <w:pPr>
              <w:pStyle w:val="Compact"/>
              <w:jc w:val="center"/>
              <w:numPr>
                <w:numId w:val="1000"/>
                <w:ilvl w:val="0"/>
              </w:numPr>
            </w:pPr>
            <w:r>
              <w:t xml:space="preserve">0.2125</w:t>
            </w:r>
          </w:p>
        </w:tc>
        <w:tc>
          <w:p>
            <w:pPr>
              <w:pStyle w:val="Compact"/>
              <w:jc w:val="center"/>
              <w:numPr>
                <w:numId w:val="1000"/>
                <w:ilvl w:val="0"/>
              </w:numPr>
            </w:pPr>
            <w:r>
              <w:t xml:space="preserve">0.333</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1617-1213</w:t>
            </w:r>
          </w:p>
        </w:tc>
        <w:tc>
          <w:p>
            <w:pPr>
              <w:pStyle w:val="Compact"/>
              <w:jc w:val="center"/>
              <w:numPr>
                <w:numId w:val="1000"/>
                <w:ilvl w:val="0"/>
              </w:numPr>
            </w:pPr>
            <w:r>
              <w:t xml:space="preserve">0.6527</w:t>
            </w:r>
          </w:p>
        </w:tc>
        <w:tc>
          <w:p>
            <w:pPr>
              <w:pStyle w:val="Compact"/>
              <w:jc w:val="center"/>
              <w:numPr>
                <w:numId w:val="1000"/>
                <w:ilvl w:val="0"/>
              </w:numPr>
            </w:pPr>
            <w:r>
              <w:t xml:space="preserve">0.5824</w:t>
            </w:r>
          </w:p>
        </w:tc>
        <w:tc>
          <w:p>
            <w:pPr>
              <w:pStyle w:val="Compact"/>
              <w:jc w:val="center"/>
              <w:numPr>
                <w:numId w:val="1000"/>
                <w:ilvl w:val="0"/>
              </w:numPr>
            </w:pPr>
            <w:r>
              <w:t xml:space="preserve">0.7229</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1823-1213</w:t>
            </w:r>
          </w:p>
        </w:tc>
        <w:tc>
          <w:p>
            <w:pPr>
              <w:pStyle w:val="Compact"/>
              <w:jc w:val="center"/>
              <w:numPr>
                <w:numId w:val="1000"/>
                <w:ilvl w:val="0"/>
              </w:numPr>
            </w:pPr>
            <w:r>
              <w:t xml:space="preserve">1.121</w:t>
            </w:r>
          </w:p>
        </w:tc>
        <w:tc>
          <w:p>
            <w:pPr>
              <w:pStyle w:val="Compact"/>
              <w:jc w:val="center"/>
              <w:numPr>
                <w:numId w:val="1000"/>
                <w:ilvl w:val="0"/>
              </w:numPr>
            </w:pPr>
            <w:r>
              <w:t xml:space="preserve">1.069</w:t>
            </w:r>
          </w:p>
        </w:tc>
        <w:tc>
          <w:p>
            <w:pPr>
              <w:pStyle w:val="Compact"/>
              <w:jc w:val="center"/>
              <w:numPr>
                <w:numId w:val="1000"/>
                <w:ilvl w:val="0"/>
              </w:numPr>
            </w:pPr>
            <w:r>
              <w:t xml:space="preserve">1.174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1617-1415</w:t>
            </w:r>
          </w:p>
        </w:tc>
        <w:tc>
          <w:p>
            <w:pPr>
              <w:pStyle w:val="Compact"/>
              <w:jc w:val="center"/>
              <w:numPr>
                <w:numId w:val="1000"/>
                <w:ilvl w:val="0"/>
              </w:numPr>
            </w:pPr>
            <w:r>
              <w:t xml:space="preserve">0.3799</w:t>
            </w:r>
          </w:p>
        </w:tc>
        <w:tc>
          <w:p>
            <w:pPr>
              <w:pStyle w:val="Compact"/>
              <w:jc w:val="center"/>
              <w:numPr>
                <w:numId w:val="1000"/>
                <w:ilvl w:val="0"/>
              </w:numPr>
            </w:pPr>
            <w:r>
              <w:t xml:space="preserve">0.3109</w:t>
            </w:r>
          </w:p>
        </w:tc>
        <w:tc>
          <w:p>
            <w:pPr>
              <w:pStyle w:val="Compact"/>
              <w:jc w:val="center"/>
              <w:numPr>
                <w:numId w:val="1000"/>
                <w:ilvl w:val="0"/>
              </w:numPr>
            </w:pPr>
            <w:r>
              <w:t xml:space="preserve">0.449</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1823-1415</w:t>
            </w:r>
          </w:p>
        </w:tc>
        <w:tc>
          <w:p>
            <w:pPr>
              <w:pStyle w:val="Compact"/>
              <w:jc w:val="center"/>
              <w:numPr>
                <w:numId w:val="1000"/>
                <w:ilvl w:val="0"/>
              </w:numPr>
            </w:pPr>
            <w:r>
              <w:t xml:space="preserve">0.8484</w:t>
            </w:r>
          </w:p>
        </w:tc>
        <w:tc>
          <w:p>
            <w:pPr>
              <w:pStyle w:val="Compact"/>
              <w:jc w:val="center"/>
              <w:numPr>
                <w:numId w:val="1000"/>
                <w:ilvl w:val="0"/>
              </w:numPr>
            </w:pPr>
            <w:r>
              <w:t xml:space="preserve">0.7974</w:t>
            </w:r>
          </w:p>
        </w:tc>
        <w:tc>
          <w:p>
            <w:pPr>
              <w:pStyle w:val="Compact"/>
              <w:jc w:val="center"/>
              <w:numPr>
                <w:numId w:val="1000"/>
                <w:ilvl w:val="0"/>
              </w:numPr>
            </w:pPr>
            <w:r>
              <w:t xml:space="preserve">0.8994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1823-1617</w:t>
            </w:r>
          </w:p>
        </w:tc>
        <w:tc>
          <w:p>
            <w:pPr>
              <w:pStyle w:val="Compact"/>
              <w:jc w:val="center"/>
              <w:numPr>
                <w:numId w:val="1000"/>
                <w:ilvl w:val="0"/>
              </w:numPr>
            </w:pPr>
            <w:r>
              <w:t xml:space="preserve">0.4685</w:t>
            </w:r>
          </w:p>
        </w:tc>
        <w:tc>
          <w:p>
            <w:pPr>
              <w:pStyle w:val="Compact"/>
              <w:jc w:val="center"/>
              <w:numPr>
                <w:numId w:val="1000"/>
                <w:ilvl w:val="0"/>
              </w:numPr>
            </w:pPr>
            <w:r>
              <w:t xml:space="preserve">0.406</w:t>
            </w:r>
          </w:p>
        </w:tc>
        <w:tc>
          <w:p>
            <w:pPr>
              <w:pStyle w:val="Compact"/>
              <w:jc w:val="center"/>
              <w:numPr>
                <w:numId w:val="1000"/>
                <w:ilvl w:val="0"/>
              </w:numPr>
            </w:pPr>
            <w:r>
              <w:t xml:space="preserve">0.5309</w:t>
            </w:r>
          </w:p>
        </w:tc>
        <w:tc>
          <w:p>
            <w:pPr>
              <w:pStyle w:val="Compact"/>
              <w:jc w:val="center"/>
              <w:numPr>
                <w:numId w:val="1000"/>
                <w:ilvl w:val="0"/>
              </w:numPr>
            </w:pPr>
            <w:r>
              <w:t xml:space="preserve">0</w:t>
            </w:r>
          </w:p>
        </w:tc>
      </w:tr>
    </w:tbl>
    <w:p>
      <w:pPr>
        <w:pStyle w:val="Heading2"/>
      </w:pPr>
      <w:bookmarkStart w:id="65" w:name="conclusion-and-discussion"/>
      <w:r>
        <w:t xml:space="preserve">Conclusion and discussion</w:t>
      </w:r>
      <w:bookmarkEnd w:id="65"/>
    </w:p>
    <w:p>
      <w:pPr>
        <w:pStyle w:val="FirstParagraph"/>
      </w:pPr>
      <w:r>
        <w:t xml:space="preserve">The business asked that we determine on what server and at what time of day additional reports should run.</w:t>
      </w:r>
    </w:p>
    <w:p>
      <w:pPr>
        <w:pStyle w:val="BodyText"/>
      </w:pPr>
      <w:r>
        <w:t xml:space="preserve">Due to the residual and Q-Q plot of the untransformed data we deemed it necessary to perform a log transform of the response data. The data responded well to the transformation displaying all the characteristics of normalized data.</w:t>
      </w:r>
    </w:p>
    <w:p>
      <w:pPr>
        <w:pStyle w:val="BodyText"/>
      </w:pPr>
      <w:r>
        <w:t xml:space="preserve">Using the table</w:t>
      </w:r>
      <w:r>
        <w:t xml:space="preserve"> </w:t>
      </w:r>
      <w:r>
        <w:t xml:space="preserve">“</w:t>
      </w:r>
      <w:r>
        <w:t xml:space="preserve">Mean logged response of reports ran by time of day per server</w:t>
      </w:r>
      <w:r>
        <w:t xml:space="preserve">”</w:t>
      </w:r>
      <w:r>
        <w:t xml:space="preserve"> </w:t>
      </w:r>
      <w:r>
        <w:t xml:space="preserve">above we can make the following recommendations.</w:t>
      </w:r>
    </w:p>
    <w:p>
      <w:pPr>
        <w:pStyle w:val="Compact"/>
        <w:numPr>
          <w:numId w:val="1008"/>
          <w:ilvl w:val="0"/>
        </w:numPr>
      </w:pPr>
      <w:r>
        <w:t xml:space="preserve">The number of reports run on server</w:t>
      </w:r>
      <w:r>
        <w:t xml:space="preserve"> </w:t>
      </w:r>
      <w:r>
        <w:t xml:space="preserve">“</w:t>
      </w:r>
      <w:r>
        <w:t xml:space="preserve">SQLODR03</w:t>
      </w:r>
      <w:r>
        <w:t xml:space="preserve">”</w:t>
      </w:r>
      <w:r>
        <w:t xml:space="preserve"> </w:t>
      </w:r>
      <w:r>
        <w:t xml:space="preserve">is about 20 % less than the other two servers. However, at most it has only 18% faster mean report delivery time(95% CI[5.3% - 32%]) this is between server</w:t>
      </w:r>
      <w:r>
        <w:t xml:space="preserve"> </w:t>
      </w:r>
      <w:r>
        <w:t xml:space="preserve">“</w:t>
      </w:r>
      <w:r>
        <w:t xml:space="preserve">SQLODR03</w:t>
      </w:r>
      <w:r>
        <w:t xml:space="preserve">”</w:t>
      </w:r>
      <w:r>
        <w:t xml:space="preserve"> </w:t>
      </w:r>
      <w:r>
        <w:t xml:space="preserve">and</w:t>
      </w:r>
      <w:r>
        <w:t xml:space="preserve"> </w:t>
      </w:r>
      <w:r>
        <w:t xml:space="preserve">“</w:t>
      </w:r>
      <w:r>
        <w:t xml:space="preserve">SQLODR6</w:t>
      </w:r>
      <w:r>
        <w:t xml:space="preserve">”</w:t>
      </w:r>
      <w:r>
        <w:t xml:space="preserve"> </w:t>
      </w:r>
      <w:r>
        <w:t xml:space="preserve">for the 10 AM through noon time period</w:t>
      </w:r>
    </w:p>
    <w:p>
      <w:pPr>
        <w:pStyle w:val="Compact"/>
        <w:numPr>
          <w:numId w:val="1008"/>
          <w:ilvl w:val="0"/>
        </w:numPr>
      </w:pPr>
      <w:r>
        <w:t xml:space="preserve">The time period 6 AM to 8 AM has the highest mean report delivery time, followed by 8 AM to 10 AM and 6 PM to 8 pm. Every effort should be made to not schedule new reports during these time frames.</w:t>
      </w:r>
    </w:p>
    <w:p>
      <w:pPr>
        <w:pStyle w:val="Compact"/>
        <w:numPr>
          <w:numId w:val="1008"/>
          <w:ilvl w:val="0"/>
        </w:numPr>
      </w:pPr>
      <w:r>
        <w:t xml:space="preserve">The time period noon to 2 PM has the lowest mean report delivery time, thus if possible new reports should be added there. The relative loading of the servers is as follows. Server</w:t>
      </w:r>
      <w:r>
        <w:t xml:space="preserve"> </w:t>
      </w:r>
      <w:r>
        <w:t xml:space="preserve">“</w:t>
      </w:r>
      <w:r>
        <w:t xml:space="preserve">SQLODR02</w:t>
      </w:r>
      <w:r>
        <w:t xml:space="preserve">”</w:t>
      </w:r>
      <w:r>
        <w:t xml:space="preserve"> </w:t>
      </w:r>
      <w:r>
        <w:t xml:space="preserve">has a 48% greater mean report delivery time (95% CI[31%, 68%]) than server”SQLODR06” for that time frame. While server</w:t>
      </w:r>
      <w:r>
        <w:t xml:space="preserve"> </w:t>
      </w:r>
      <w:r>
        <w:t xml:space="preserve">“</w:t>
      </w:r>
      <w:r>
        <w:t xml:space="preserve">SQLODR3</w:t>
      </w:r>
      <w:r>
        <w:t xml:space="preserve">”</w:t>
      </w:r>
      <w:r>
        <w:t xml:space="preserve"> </w:t>
      </w:r>
      <w:r>
        <w:t xml:space="preserve">has a 27% greater mean report delivery time (95% CI[11% , 44%]) than server ”SQLODR06”. Server ”SQLODR06” is the lightest loaded server as measured by mean report delivery time during the noon to 2PM time frame.</w:t>
      </w:r>
    </w:p>
    <w:p>
      <w:pPr>
        <w:pStyle w:val="Compact"/>
        <w:numPr>
          <w:numId w:val="1008"/>
          <w:ilvl w:val="0"/>
        </w:numPr>
      </w:pPr>
      <w:r>
        <w:t xml:space="preserve">The very late evening hours 8PM to midnight remain an option for scheduling reports. Care must be taken that any reports scheduled during that time do not run past midnight into the maintenance window.</w:t>
      </w:r>
    </w:p>
    <w:p>
      <w:pPr>
        <w:pStyle w:val="Heading1"/>
      </w:pPr>
      <w:bookmarkStart w:id="66" w:name="appendix-features"/>
      <w:r>
        <w:t xml:space="preserve">Appendix: Features</w:t>
      </w:r>
      <w:bookmarkEnd w:id="66"/>
    </w:p>
    <w:p>
      <w:pPr>
        <w:pStyle w:val="Heading2"/>
      </w:pPr>
      <w:bookmarkStart w:id="67" w:name="report-parameters"/>
      <w:r>
        <w:t xml:space="preserve">Report Parameters</w:t>
      </w:r>
      <w:bookmarkEnd w:id="67"/>
    </w:p>
    <w:p>
      <w:pPr>
        <w:pStyle w:val="Compact"/>
        <w:numPr>
          <w:numId w:val="1009"/>
          <w:ilvl w:val="0"/>
        </w:numPr>
      </w:pPr>
      <w:r>
        <w:t xml:space="preserve">Agents - Individual AgentIDs</w:t>
      </w:r>
    </w:p>
    <w:p>
      <w:pPr>
        <w:pStyle w:val="Compact"/>
        <w:numPr>
          <w:numId w:val="1009"/>
          <w:ilvl w:val="0"/>
        </w:numPr>
      </w:pPr>
      <w:r>
        <w:t xml:space="preserve">CurrencyCode - Collection of different lines of business</w:t>
      </w:r>
    </w:p>
    <w:p>
      <w:pPr>
        <w:pStyle w:val="Compact"/>
        <w:numPr>
          <w:numId w:val="1009"/>
          <w:ilvl w:val="0"/>
        </w:numPr>
      </w:pPr>
      <w:r>
        <w:t xml:space="preserve">GroupCustom - Collection of different client types</w:t>
      </w:r>
    </w:p>
    <w:p>
      <w:pPr>
        <w:pStyle w:val="Compact"/>
        <w:numPr>
          <w:numId w:val="1009"/>
          <w:ilvl w:val="0"/>
        </w:numPr>
      </w:pPr>
      <w:r>
        <w:t xml:space="preserve">GroupFI - Fully Insured Client</w:t>
      </w:r>
    </w:p>
    <w:p>
      <w:pPr>
        <w:pStyle w:val="Compact"/>
        <w:numPr>
          <w:numId w:val="1009"/>
          <w:ilvl w:val="0"/>
        </w:numPr>
      </w:pPr>
      <w:r>
        <w:t xml:space="preserve">GroupSF - Self Funded Client</w:t>
      </w:r>
    </w:p>
    <w:p>
      <w:pPr>
        <w:pStyle w:val="Compact"/>
        <w:numPr>
          <w:numId w:val="1009"/>
          <w:ilvl w:val="0"/>
        </w:numPr>
      </w:pPr>
      <w:r>
        <w:t xml:space="preserve">ReportID - Uniquely identifies a report</w:t>
      </w:r>
    </w:p>
    <w:p>
      <w:pPr>
        <w:pStyle w:val="Compact"/>
        <w:numPr>
          <w:numId w:val="1009"/>
          <w:ilvl w:val="0"/>
        </w:numPr>
      </w:pPr>
      <w:r>
        <w:t xml:space="preserve">QueueID - Uniquely identifies a queue of one or more reports</w:t>
      </w:r>
    </w:p>
    <w:p>
      <w:pPr>
        <w:pStyle w:val="Compact"/>
        <w:numPr>
          <w:numId w:val="1009"/>
          <w:ilvl w:val="0"/>
        </w:numPr>
      </w:pPr>
      <w:r>
        <w:t xml:space="preserve">FormID - Uniquely identifies collection of report parameters</w:t>
      </w:r>
    </w:p>
    <w:p>
      <w:pPr>
        <w:pStyle w:val="Heading2"/>
      </w:pPr>
      <w:bookmarkStart w:id="68" w:name="report-metrics"/>
      <w:r>
        <w:t xml:space="preserve">Report Metrics</w:t>
      </w:r>
      <w:bookmarkEnd w:id="68"/>
    </w:p>
    <w:p>
      <w:pPr>
        <w:pStyle w:val="Compact"/>
        <w:numPr>
          <w:numId w:val="1010"/>
          <w:ilvl w:val="0"/>
        </w:numPr>
      </w:pPr>
      <w:r>
        <w:t xml:space="preserve">Priority - Controlled report parameter</w:t>
      </w:r>
    </w:p>
    <w:p>
      <w:pPr>
        <w:pStyle w:val="Compact"/>
        <w:numPr>
          <w:numId w:val="1010"/>
          <w:ilvl w:val="0"/>
        </w:numPr>
      </w:pPr>
      <w:r>
        <w:t xml:space="preserve">QueuedDateTime - When report entered queue</w:t>
      </w:r>
    </w:p>
    <w:p>
      <w:pPr>
        <w:pStyle w:val="Compact"/>
        <w:numPr>
          <w:numId w:val="1010"/>
          <w:ilvl w:val="0"/>
        </w:numPr>
      </w:pPr>
      <w:r>
        <w:t xml:space="preserve">RenderStartDateTime - When server began work on queued report(s) in queueID batch</w:t>
      </w:r>
    </w:p>
    <w:p>
      <w:pPr>
        <w:pStyle w:val="Compact"/>
        <w:numPr>
          <w:numId w:val="1010"/>
          <w:ilvl w:val="0"/>
        </w:numPr>
      </w:pPr>
      <w:r>
        <w:t xml:space="preserve">ReportStartDateTime - When server began work on individual report</w:t>
      </w:r>
    </w:p>
    <w:p>
      <w:pPr>
        <w:pStyle w:val="Compact"/>
        <w:numPr>
          <w:numId w:val="1010"/>
          <w:ilvl w:val="0"/>
        </w:numPr>
      </w:pPr>
      <w:r>
        <w:t xml:space="preserve">ReportEndDateTime - When server completed work on individual report</w:t>
      </w:r>
    </w:p>
    <w:p>
      <w:pPr>
        <w:pStyle w:val="Compact"/>
        <w:numPr>
          <w:numId w:val="1010"/>
          <w:ilvl w:val="0"/>
        </w:numPr>
      </w:pPr>
      <w:r>
        <w:t xml:space="preserve">RenderEndDateTime - When server completed work on queued report(s) in queueID batch</w:t>
      </w:r>
    </w:p>
    <w:p>
      <w:pPr>
        <w:pStyle w:val="Compact"/>
        <w:numPr>
          <w:numId w:val="1010"/>
          <w:ilvl w:val="0"/>
        </w:numPr>
      </w:pPr>
      <w:r>
        <w:t xml:space="preserve">ReportBytes - Size in bytes of completed report</w:t>
      </w:r>
    </w:p>
    <w:p>
      <w:pPr>
        <w:pStyle w:val="Compact"/>
        <w:numPr>
          <w:numId w:val="1010"/>
          <w:ilvl w:val="0"/>
        </w:numPr>
      </w:pPr>
      <w:r>
        <w:t xml:space="preserve">RptFormat - Format of the report delivered</w:t>
      </w:r>
    </w:p>
    <w:p>
      <w:pPr>
        <w:pStyle w:val="Compact"/>
        <w:numPr>
          <w:numId w:val="1010"/>
          <w:ilvl w:val="0"/>
        </w:numPr>
      </w:pPr>
      <w:r>
        <w:t xml:space="preserve">SchedFreq - Scheduled Report Frequency</w:t>
      </w:r>
    </w:p>
    <w:p>
      <w:pPr>
        <w:pStyle w:val="Compact"/>
        <w:numPr>
          <w:numId w:val="1010"/>
          <w:ilvl w:val="0"/>
        </w:numPr>
      </w:pPr>
      <w:r>
        <w:t xml:space="preserve">Server - Server on which the report was built</w:t>
      </w:r>
    </w:p>
    <w:p>
      <w:pPr>
        <w:pStyle w:val="Heading2"/>
      </w:pPr>
      <w:bookmarkStart w:id="69" w:name="engineered-features"/>
      <w:r>
        <w:t xml:space="preserve">Engineered Features</w:t>
      </w:r>
      <w:bookmarkEnd w:id="69"/>
    </w:p>
    <w:p>
      <w:pPr>
        <w:pStyle w:val="Compact"/>
        <w:numPr>
          <w:numId w:val="1011"/>
          <w:ilvl w:val="0"/>
        </w:numPr>
      </w:pPr>
      <w:r>
        <w:t xml:space="preserve">AgentCount - Number of agents selected</w:t>
      </w:r>
    </w:p>
    <w:p>
      <w:pPr>
        <w:pStyle w:val="Compact"/>
        <w:numPr>
          <w:numId w:val="1011"/>
          <w:ilvl w:val="0"/>
        </w:numPr>
      </w:pPr>
      <w:r>
        <w:t xml:space="preserve">DayOfMonth - Day of the month report ran</w:t>
      </w:r>
    </w:p>
    <w:p>
      <w:pPr>
        <w:pStyle w:val="Compact"/>
        <w:numPr>
          <w:numId w:val="1011"/>
          <w:ilvl w:val="0"/>
        </w:numPr>
      </w:pPr>
      <w:r>
        <w:t xml:space="preserve">DayOfWeek - Day of the week report ran</w:t>
      </w:r>
    </w:p>
    <w:p>
      <w:pPr>
        <w:pStyle w:val="Compact"/>
        <w:numPr>
          <w:numId w:val="1011"/>
          <w:ilvl w:val="0"/>
        </w:numPr>
      </w:pPr>
      <w:r>
        <w:t xml:space="preserve">GroupCount - Number of clients selected</w:t>
      </w:r>
    </w:p>
    <w:p>
      <w:pPr>
        <w:pStyle w:val="Compact"/>
        <w:numPr>
          <w:numId w:val="1011"/>
          <w:ilvl w:val="0"/>
        </w:numPr>
      </w:pPr>
      <w:r>
        <w:t xml:space="preserve">HourOfDay - Hour of the day report ran</w:t>
      </w:r>
    </w:p>
    <w:p>
      <w:pPr>
        <w:pStyle w:val="Compact"/>
        <w:numPr>
          <w:numId w:val="1011"/>
          <w:ilvl w:val="0"/>
        </w:numPr>
      </w:pPr>
      <w:r>
        <w:t xml:space="preserve">LagTime - Time report waited for batch to finish (RenderEndDateTime less ReportEndDateTime)</w:t>
      </w:r>
    </w:p>
    <w:p>
      <w:pPr>
        <w:pStyle w:val="Compact"/>
        <w:numPr>
          <w:numId w:val="1011"/>
          <w:ilvl w:val="0"/>
        </w:numPr>
      </w:pPr>
      <w:r>
        <w:t xml:space="preserve">QueueTime - Time report entered queue (RenderStartDateTime less QueuedDateTime)</w:t>
      </w:r>
    </w:p>
    <w:p>
      <w:pPr>
        <w:pStyle w:val="Compact"/>
        <w:numPr>
          <w:numId w:val="1011"/>
          <w:ilvl w:val="0"/>
        </w:numPr>
      </w:pPr>
      <w:r>
        <w:t xml:space="preserve">ReportBuildTime - Time spent to build the report (ReportEndDateTime less ReportStartDateTime)</w:t>
      </w:r>
    </w:p>
    <w:p>
      <w:pPr>
        <w:pStyle w:val="Compact"/>
        <w:numPr>
          <w:numId w:val="1011"/>
          <w:ilvl w:val="0"/>
        </w:numPr>
      </w:pPr>
      <w:r>
        <w:t xml:space="preserve">ReportDeliveryTime - Time user spent waiting for report (RenderEndDateTime less QueuedDateTime)</w:t>
      </w:r>
    </w:p>
    <w:p>
      <w:pPr>
        <w:pStyle w:val="Heading1"/>
      </w:pPr>
      <w:bookmarkStart w:id="70" w:name="appendix-report-categories"/>
      <w:r>
        <w:t xml:space="preserve">Appendix: Report Categories</w:t>
      </w:r>
      <w:bookmarkEnd w:id="70"/>
    </w:p>
    <w:p>
      <w:pPr>
        <w:pStyle w:val="Heading2"/>
      </w:pPr>
      <w:bookmarkStart w:id="71" w:name="report-category-crosswalk"/>
      <w:r>
        <w:t xml:space="preserve">Report Category crosswalk:</w:t>
      </w:r>
      <w:bookmarkEnd w:id="7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Groups</w:t>
            </w:r>
          </w:p>
        </w:tc>
      </w:tr>
      <w:tr>
        <w:tc>
          <w:p>
            <w:pPr>
              <w:pStyle w:val="Compact"/>
              <w:jc w:val="left"/>
            </w:pPr>
            <w:r>
              <w:t xml:space="preserve">Eligibility</w:t>
            </w:r>
          </w:p>
        </w:tc>
        <w:tc>
          <w:p>
            <w:pPr>
              <w:pStyle w:val="Compact"/>
              <w:jc w:val="left"/>
            </w:pPr>
            <w:r>
              <w:t xml:space="preserve">“</w:t>
            </w:r>
            <w:r>
              <w:t xml:space="preserve">Eligibility</w:t>
            </w:r>
            <w:r>
              <w:t xml:space="preserve">”</w:t>
            </w:r>
            <w:r>
              <w:t xml:space="preserve">,</w:t>
            </w:r>
            <w:r>
              <w:t xml:space="preserve">“</w:t>
            </w:r>
            <w:r>
              <w:t xml:space="preserve">Accumulator</w:t>
            </w:r>
            <w:r>
              <w:t xml:space="preserve">”</w:t>
            </w:r>
            <w:r>
              <w:t xml:space="preserve">,</w:t>
            </w:r>
            <w:r>
              <w:t xml:space="preserve">“</w:t>
            </w:r>
            <w:r>
              <w:t xml:space="preserve">EventHistory</w:t>
            </w:r>
            <w:r>
              <w:t xml:space="preserve">”</w:t>
            </w:r>
            <w:r>
              <w:t xml:space="preserve">,</w:t>
            </w:r>
            <w:r>
              <w:t xml:space="preserve">“</w:t>
            </w:r>
            <w:r>
              <w:t xml:space="preserve">COBRA</w:t>
            </w:r>
            <w:r>
              <w:t xml:space="preserve">”</w:t>
            </w:r>
            <w:r>
              <w:t xml:space="preserve">,</w:t>
            </w:r>
            <w:r>
              <w:t xml:space="preserve">“</w:t>
            </w:r>
            <w:r>
              <w:t xml:space="preserve">RedCard</w:t>
            </w:r>
            <w:r>
              <w:t xml:space="preserve">”</w:t>
            </w:r>
            <w:r>
              <w:t xml:space="preserve">,</w:t>
            </w:r>
            <w:r>
              <w:t xml:space="preserve">“</w:t>
            </w:r>
            <w:r>
              <w:t xml:space="preserve">ComPsych</w:t>
            </w:r>
            <w:r>
              <w:t xml:space="preserve">”</w:t>
            </w:r>
          </w:p>
        </w:tc>
      </w:tr>
      <w:tr>
        <w:tc>
          <w:p>
            <w:pPr>
              <w:pStyle w:val="Compact"/>
              <w:jc w:val="left"/>
            </w:pPr>
            <w:r>
              <w:t xml:space="preserve">Miscellaneous</w:t>
            </w:r>
          </w:p>
        </w:tc>
        <w:tc>
          <w:p>
            <w:pPr>
              <w:pStyle w:val="Compact"/>
              <w:jc w:val="left"/>
            </w:pPr>
            <w:r>
              <w:t xml:space="preserve">“</w:t>
            </w:r>
            <w:r>
              <w:t xml:space="preserve">Miscellaneous</w:t>
            </w:r>
            <w:r>
              <w:t xml:space="preserve">”</w:t>
            </w:r>
          </w:p>
        </w:tc>
      </w:tr>
      <w:tr>
        <w:tc>
          <w:p>
            <w:pPr>
              <w:pStyle w:val="Compact"/>
              <w:jc w:val="left"/>
            </w:pPr>
            <w:r>
              <w:t xml:space="preserve">Reinsurance</w:t>
            </w:r>
          </w:p>
        </w:tc>
        <w:tc>
          <w:p>
            <w:pPr>
              <w:pStyle w:val="Compact"/>
              <w:jc w:val="left"/>
            </w:pPr>
            <w:r>
              <w:t xml:space="preserve">“</w:t>
            </w:r>
            <w:r>
              <w:t xml:space="preserve">Reinsurance</w:t>
            </w:r>
            <w:r>
              <w:t xml:space="preserve">”</w:t>
            </w:r>
            <w:r>
              <w:t xml:space="preserve">,</w:t>
            </w:r>
            <w:r>
              <w:t xml:space="preserve">“</w:t>
            </w:r>
            <w:r>
              <w:t xml:space="preserve">Aggregate Report</w:t>
            </w:r>
            <w:r>
              <w:t xml:space="preserve">”</w:t>
            </w:r>
          </w:p>
        </w:tc>
      </w:tr>
      <w:tr>
        <w:tc>
          <w:p>
            <w:pPr>
              <w:pStyle w:val="Compact"/>
              <w:jc w:val="left"/>
            </w:pPr>
            <w:r>
              <w:t xml:space="preserve">Professional Liability</w:t>
            </w:r>
          </w:p>
        </w:tc>
        <w:tc>
          <w:p>
            <w:pPr>
              <w:pStyle w:val="Compact"/>
              <w:jc w:val="left"/>
            </w:pPr>
            <w:r>
              <w:t xml:space="preserve">“</w:t>
            </w:r>
            <w:r>
              <w:t xml:space="preserve">PL</w:t>
            </w:r>
            <w:r>
              <w:t xml:space="preserve">”</w:t>
            </w:r>
          </w:p>
        </w:tc>
      </w:tr>
      <w:tr>
        <w:tc>
          <w:p>
            <w:pPr>
              <w:pStyle w:val="Compact"/>
              <w:jc w:val="left"/>
            </w:pPr>
            <w:r>
              <w:t xml:space="preserve">Actuarial</w:t>
            </w:r>
          </w:p>
        </w:tc>
        <w:tc>
          <w:p>
            <w:pPr>
              <w:pStyle w:val="Compact"/>
              <w:jc w:val="left"/>
            </w:pPr>
            <w:r>
              <w:t xml:space="preserve">“</w:t>
            </w:r>
            <w:r>
              <w:t xml:space="preserve">Actuarial</w:t>
            </w:r>
            <w:r>
              <w:t xml:space="preserve">”</w:t>
            </w:r>
            <w:r>
              <w:t xml:space="preserve">,</w:t>
            </w:r>
            <w:r>
              <w:t xml:space="preserve">“</w:t>
            </w:r>
            <w:r>
              <w:t xml:space="preserve">ISBReports</w:t>
            </w:r>
            <w:r>
              <w:t xml:space="preserve">”</w:t>
            </w:r>
            <w:r>
              <w:t xml:space="preserve">,</w:t>
            </w:r>
            <w:r>
              <w:t xml:space="preserve">“</w:t>
            </w:r>
            <w:r>
              <w:t xml:space="preserve">Renewal</w:t>
            </w:r>
            <w:r>
              <w:t xml:space="preserve">”</w:t>
            </w:r>
            <w:r>
              <w:t xml:space="preserve">,</w:t>
            </w:r>
            <w:r>
              <w:t xml:space="preserve"> </w:t>
            </w:r>
            <w:r>
              <w:rPr>
                <w:i/>
              </w:rPr>
              <w:t xml:space="preserve">except when rptCategoryDesc =</w:t>
            </w:r>
            <w:r>
              <w:rPr>
                <w:i/>
              </w:rPr>
              <w:t xml:space="preserve"> </w:t>
            </w:r>
            <w:r>
              <w:rPr>
                <w:i/>
              </w:rPr>
              <w:t xml:space="preserve">‘</w:t>
            </w:r>
            <w:r>
              <w:rPr>
                <w:i/>
              </w:rPr>
              <w:t xml:space="preserve">Renewal</w:t>
            </w:r>
            <w:r>
              <w:rPr>
                <w:i/>
              </w:rPr>
              <w:t xml:space="preserve">’</w:t>
            </w:r>
            <w:r>
              <w:rPr>
                <w:i/>
              </w:rPr>
              <w:t xml:space="preserve"> </w:t>
            </w:r>
            <w:r>
              <w:rPr>
                <w:i/>
              </w:rPr>
              <w:t xml:space="preserve">and reportGroup =</w:t>
            </w:r>
            <w:r>
              <w:rPr>
                <w:i/>
              </w:rPr>
              <w:t xml:space="preserve"> </w:t>
            </w:r>
            <w:r>
              <w:rPr>
                <w:i/>
              </w:rPr>
              <w:t xml:space="preserve">‘</w:t>
            </w:r>
            <w:r>
              <w:rPr>
                <w:i/>
              </w:rPr>
              <w:t xml:space="preserve">CommissionsTFB</w:t>
            </w:r>
            <w:r>
              <w:rPr>
                <w:i/>
              </w:rPr>
              <w:t xml:space="preserve">’</w:t>
            </w:r>
            <w:r>
              <w:rPr>
                <w:i/>
              </w:rPr>
              <w:t xml:space="preserve"> </w:t>
            </w:r>
            <w:r>
              <w:rPr>
                <w:i/>
              </w:rPr>
              <w:t xml:space="preserve">use</w:t>
            </w:r>
            <w:r>
              <w:rPr>
                <w:i/>
              </w:rPr>
              <w:t xml:space="preserve"> </w:t>
            </w:r>
            <w:r>
              <w:rPr>
                <w:i/>
              </w:rPr>
              <w:t xml:space="preserve">‘</w:t>
            </w:r>
            <w:r>
              <w:rPr>
                <w:i/>
              </w:rPr>
              <w:t xml:space="preserve">Commissions</w:t>
            </w:r>
            <w:r>
              <w:rPr>
                <w:i/>
              </w:rPr>
              <w:t xml:space="preserve">’</w:t>
            </w:r>
          </w:p>
        </w:tc>
      </w:tr>
      <w:tr>
        <w:tc>
          <w:p>
            <w:pPr>
              <w:pStyle w:val="Compact"/>
              <w:jc w:val="left"/>
            </w:pPr>
            <w:r>
              <w:t xml:space="preserve">Finance Commission</w:t>
            </w:r>
          </w:p>
        </w:tc>
        <w:tc>
          <w:p>
            <w:pPr>
              <w:pStyle w:val="Compact"/>
              <w:jc w:val="left"/>
            </w:pPr>
            <w:r>
              <w:t xml:space="preserve">“</w:t>
            </w:r>
            <w:r>
              <w:t xml:space="preserve">Commissions</w:t>
            </w:r>
            <w:r>
              <w:t xml:space="preserve">”</w:t>
            </w:r>
            <w:r>
              <w:t xml:space="preserve">,</w:t>
            </w:r>
            <w:r>
              <w:t xml:space="preserve">“</w:t>
            </w:r>
            <w:r>
              <w:t xml:space="preserve">CRMOnlineFinance</w:t>
            </w:r>
            <w:r>
              <w:t xml:space="preserve">”</w:t>
            </w:r>
            <w:r>
              <w:t xml:space="preserve">,</w:t>
            </w:r>
            <w:r>
              <w:t xml:space="preserve">“</w:t>
            </w:r>
            <w:r>
              <w:t xml:space="preserve">CommCnt</w:t>
            </w:r>
            <w:r>
              <w:t xml:space="preserve">”</w:t>
            </w:r>
            <w:r>
              <w:t xml:space="preserve">,</w:t>
            </w:r>
            <w:r>
              <w:t xml:space="preserve">“</w:t>
            </w:r>
            <w:r>
              <w:t xml:space="preserve">CommCompare</w:t>
            </w:r>
            <w:r>
              <w:t xml:space="preserve">”</w:t>
            </w:r>
          </w:p>
        </w:tc>
      </w:tr>
      <w:tr>
        <w:tc>
          <w:p>
            <w:pPr>
              <w:pStyle w:val="Compact"/>
              <w:jc w:val="left"/>
            </w:pPr>
            <w:r>
              <w:t xml:space="preserve">Claims</w:t>
            </w:r>
          </w:p>
        </w:tc>
        <w:tc>
          <w:p>
            <w:pPr>
              <w:pStyle w:val="Compact"/>
              <w:jc w:val="left"/>
            </w:pPr>
            <w:r>
              <w:t xml:space="preserve">“</w:t>
            </w:r>
            <w:r>
              <w:t xml:space="preserve">ClaimsAudit</w:t>
            </w:r>
            <w:r>
              <w:t xml:space="preserve">”</w:t>
            </w:r>
            <w:r>
              <w:t xml:space="preserve">,</w:t>
            </w:r>
            <w:r>
              <w:t xml:space="preserve">“</w:t>
            </w:r>
            <w:r>
              <w:t xml:space="preserve">CMSRepting</w:t>
            </w:r>
            <w:r>
              <w:t xml:space="preserve">”</w:t>
            </w:r>
            <w:r>
              <w:t xml:space="preserve">,</w:t>
            </w:r>
            <w:r>
              <w:t xml:space="preserve">“</w:t>
            </w:r>
            <w:r>
              <w:t xml:space="preserve">Repository</w:t>
            </w:r>
            <w:r>
              <w:t xml:space="preserve">”</w:t>
            </w:r>
            <w:r>
              <w:t xml:space="preserve">,</w:t>
            </w:r>
            <w:r>
              <w:t xml:space="preserve">“</w:t>
            </w:r>
            <w:r>
              <w:t xml:space="preserve">GilsbarPPO</w:t>
            </w:r>
            <w:r>
              <w:t xml:space="preserve">”</w:t>
            </w:r>
            <w:r>
              <w:t xml:space="preserve">,</w:t>
            </w:r>
            <w:r>
              <w:t xml:space="preserve">“</w:t>
            </w:r>
            <w:r>
              <w:t xml:space="preserve">Claims</w:t>
            </w:r>
            <w:r>
              <w:t xml:space="preserve">”</w:t>
            </w:r>
          </w:p>
        </w:tc>
      </w:tr>
      <w:tr>
        <w:tc>
          <w:p>
            <w:pPr>
              <w:pStyle w:val="Compact"/>
              <w:jc w:val="left"/>
            </w:pPr>
            <w:r>
              <w:t xml:space="preserve">Medical Management</w:t>
            </w:r>
          </w:p>
        </w:tc>
        <w:tc>
          <w:p>
            <w:pPr>
              <w:pStyle w:val="Compact"/>
              <w:jc w:val="left"/>
            </w:pPr>
            <w:r>
              <w:t xml:space="preserve">“</w:t>
            </w:r>
            <w:r>
              <w:t xml:space="preserve">Wellness Repository</w:t>
            </w:r>
            <w:r>
              <w:t xml:space="preserve">”</w:t>
            </w:r>
            <w:r>
              <w:t xml:space="preserve">,</w:t>
            </w:r>
            <w:r>
              <w:t xml:space="preserve">“</w:t>
            </w:r>
            <w:r>
              <w:t xml:space="preserve">MedCom</w:t>
            </w:r>
            <w:r>
              <w:t xml:space="preserve">”</w:t>
            </w:r>
            <w:r>
              <w:t xml:space="preserve">,</w:t>
            </w:r>
            <w:r>
              <w:t xml:space="preserve">“</w:t>
            </w:r>
            <w:r>
              <w:t xml:space="preserve">TVC</w:t>
            </w:r>
            <w:r>
              <w:t xml:space="preserve">”</w:t>
            </w:r>
            <w:r>
              <w:t xml:space="preserve">,</w:t>
            </w:r>
            <w:r>
              <w:t xml:space="preserve">“</w:t>
            </w:r>
            <w:r>
              <w:t xml:space="preserve">MedInsight</w:t>
            </w:r>
            <w:r>
              <w:t xml:space="preserve">”</w:t>
            </w:r>
          </w:p>
        </w:tc>
      </w:tr>
      <w:tr>
        <w:tc>
          <w:p>
            <w:pPr>
              <w:pStyle w:val="Compact"/>
              <w:jc w:val="left"/>
            </w:pPr>
            <w:r>
              <w:t xml:space="preserve">Metrics</w:t>
            </w:r>
          </w:p>
        </w:tc>
        <w:tc>
          <w:p>
            <w:pPr>
              <w:pStyle w:val="Compact"/>
              <w:jc w:val="left"/>
            </w:pPr>
            <w:r>
              <w:t xml:space="preserve">“</w:t>
            </w:r>
            <w:r>
              <w:t xml:space="preserve">iTrac</w:t>
            </w:r>
            <w:r>
              <w:t xml:space="preserve">”</w:t>
            </w:r>
            <w:r>
              <w:t xml:space="preserve">,</w:t>
            </w:r>
            <w:r>
              <w:t xml:space="preserve">“</w:t>
            </w:r>
            <w:r>
              <w:t xml:space="preserve">TMS</w:t>
            </w:r>
            <w:r>
              <w:t xml:space="preserve">”</w:t>
            </w:r>
            <w:r>
              <w:t xml:space="preserve">,</w:t>
            </w:r>
            <w:r>
              <w:t xml:space="preserve">“</w:t>
            </w:r>
            <w:r>
              <w:t xml:space="preserve">Customer Service</w:t>
            </w:r>
            <w:r>
              <w:t xml:space="preserve">”</w:t>
            </w:r>
            <w:r>
              <w:t xml:space="preserve">,</w:t>
            </w:r>
            <w:r>
              <w:t xml:space="preserve">“</w:t>
            </w:r>
            <w:r>
              <w:t xml:space="preserve">ODR Admin</w:t>
            </w:r>
            <w:r>
              <w:t xml:space="preserve">”</w:t>
            </w:r>
            <w:r>
              <w:t xml:space="preserve">,</w:t>
            </w:r>
            <w:r>
              <w:t xml:space="preserve">“</w:t>
            </w:r>
            <w:r>
              <w:t xml:space="preserve">PortalStats</w:t>
            </w:r>
            <w:r>
              <w:t xml:space="preserve">”</w:t>
            </w:r>
            <w:r>
              <w:t xml:space="preserve">,</w:t>
            </w:r>
            <w:r>
              <w:t xml:space="preserve">“</w:t>
            </w:r>
            <w:r>
              <w:t xml:space="preserve">AutoAdjudication</w:t>
            </w:r>
            <w:r>
              <w:t xml:space="preserve">”</w:t>
            </w:r>
            <w:r>
              <w:t xml:space="preserve">,</w:t>
            </w:r>
            <w:r>
              <w:t xml:space="preserve">“</w:t>
            </w:r>
            <w:r>
              <w:t xml:space="preserve">Genelco</w:t>
            </w:r>
            <w:r>
              <w:t xml:space="preserve">”</w:t>
            </w:r>
            <w:r>
              <w:t xml:space="preserve">,</w:t>
            </w:r>
            <w:r>
              <w:t xml:space="preserve">“</w:t>
            </w:r>
            <w:r>
              <w:t xml:space="preserve">Supervisor</w:t>
            </w:r>
            <w:r>
              <w:t xml:space="preserve">”</w:t>
            </w:r>
          </w:p>
        </w:tc>
      </w:tr>
      <w:tr>
        <w:tc>
          <w:p>
            <w:pPr>
              <w:pStyle w:val="Compact"/>
              <w:jc w:val="left"/>
            </w:pPr>
            <w:r>
              <w:t xml:space="preserve">Extract</w:t>
            </w:r>
          </w:p>
        </w:tc>
        <w:tc>
          <w:p>
            <w:pPr>
              <w:pStyle w:val="Compact"/>
              <w:jc w:val="left"/>
            </w:pPr>
            <w:r>
              <w:t xml:space="preserve">“</w:t>
            </w:r>
            <w:r>
              <w:t xml:space="preserve">DataExtracts</w:t>
            </w:r>
            <w:r>
              <w:t xml:space="preserve">”</w:t>
            </w:r>
            <w:r>
              <w:t xml:space="preserve">,</w:t>
            </w:r>
            <w:r>
              <w:t xml:space="preserve">“</w:t>
            </w:r>
            <w:r>
              <w:t xml:space="preserve">Large Claims Reports</w:t>
            </w:r>
            <w:r>
              <w:t xml:space="preserve">”</w:t>
            </w:r>
          </w:p>
        </w:tc>
      </w:tr>
      <w:tr>
        <w:tc>
          <w:p>
            <w:pPr>
              <w:pStyle w:val="Compact"/>
              <w:jc w:val="left"/>
            </w:pPr>
            <w:r>
              <w:t xml:space="preserve">Finance Billing</w:t>
            </w:r>
          </w:p>
        </w:tc>
        <w:tc>
          <w:p>
            <w:pPr>
              <w:pStyle w:val="Compact"/>
              <w:jc w:val="left"/>
            </w:pPr>
            <w:r>
              <w:t xml:space="preserve">“</w:t>
            </w:r>
            <w:r>
              <w:t xml:space="preserve">Billing</w:t>
            </w:r>
            <w:r>
              <w:t xml:space="preserve">”</w:t>
            </w:r>
            <w:r>
              <w:t xml:space="preserve">,</w:t>
            </w:r>
            <w:r>
              <w:t xml:space="preserve"> </w:t>
            </w:r>
            <w:r>
              <w:t xml:space="preserve">“</w:t>
            </w:r>
            <w:r>
              <w:t xml:space="preserve">Coverage</w:t>
            </w:r>
            <w:r>
              <w:t xml:space="preserve">”</w:t>
            </w:r>
            <w:r>
              <w:t xml:space="preserve">,</w:t>
            </w:r>
            <w:r>
              <w:t xml:space="preserve">“</w:t>
            </w:r>
            <w:r>
              <w:t xml:space="preserve">Refunds</w:t>
            </w:r>
            <w:r>
              <w:t xml:space="preserve">”</w:t>
            </w:r>
            <w:r>
              <w:t xml:space="preserve">,</w:t>
            </w:r>
            <w:r>
              <w:t xml:space="preserve">“</w:t>
            </w:r>
            <w:r>
              <w:t xml:space="preserve">Credit Card Process</w:t>
            </w:r>
            <w:r>
              <w:t xml:space="preserve">”</w:t>
            </w:r>
            <w:r>
              <w:t xml:space="preserve">,</w:t>
            </w:r>
            <w:r>
              <w:t xml:space="preserve">“</w:t>
            </w:r>
            <w:r>
              <w:t xml:space="preserve">Deposit</w:t>
            </w:r>
            <w:r>
              <w:t xml:space="preserve">”</w:t>
            </w:r>
            <w:r>
              <w:t xml:space="preserve">,</w:t>
            </w:r>
            <w:r>
              <w:t xml:space="preserve">“</w:t>
            </w:r>
            <w:r>
              <w:t xml:space="preserve">CheckRecon</w:t>
            </w:r>
            <w:r>
              <w:t xml:space="preserve">”</w:t>
            </w:r>
            <w:r>
              <w:t xml:space="preserve">,</w:t>
            </w:r>
            <w:r>
              <w:t xml:space="preserve">“</w:t>
            </w:r>
            <w:r>
              <w:t xml:space="preserve">Check Register</w:t>
            </w:r>
            <w:r>
              <w:t xml:space="preserve">”</w:t>
            </w:r>
            <w:r>
              <w:t xml:space="preserve">,</w:t>
            </w:r>
            <w:r>
              <w:t xml:space="preserve">“</w:t>
            </w:r>
            <w:r>
              <w:t xml:space="preserve">FinancePremium</w:t>
            </w:r>
            <w:r>
              <w:t xml:space="preserve">”</w:t>
            </w:r>
            <w:r>
              <w:t xml:space="preserve">,</w:t>
            </w:r>
            <w:r>
              <w:t xml:space="preserve"> </w:t>
            </w:r>
            <w:r>
              <w:t xml:space="preserve">“</w:t>
            </w:r>
            <w:r>
              <w:t xml:space="preserve">Premium</w:t>
            </w:r>
            <w:r>
              <w:t xml:space="preserve">”</w:t>
            </w:r>
          </w:p>
        </w:tc>
      </w:tr>
    </w:tbl>
    <w:p>
      <w:pPr>
        <w:pStyle w:val="Heading1"/>
      </w:pPr>
      <w:bookmarkStart w:id="72" w:name="appendix-data-preparation"/>
      <w:r>
        <w:t xml:space="preserve">Appendix: Data Preparation</w:t>
      </w:r>
      <w:bookmarkEnd w:id="72"/>
    </w:p>
    <w:p>
      <w:pPr>
        <w:pStyle w:val="Heading2"/>
      </w:pPr>
      <w:bookmarkStart w:id="73" w:name="etl-of-original-data"/>
      <w:r>
        <w:t xml:space="preserve">ETL of original data</w:t>
      </w:r>
      <w:bookmarkEnd w:id="73"/>
    </w:p>
    <w:p>
      <w:pPr>
        <w:pStyle w:val="SourceCode"/>
      </w:pPr>
      <w:r>
        <w:rPr>
          <w:rStyle w:val="KeywordTok"/>
        </w:rPr>
        <w:t xml:space="preserve">tic</w:t>
      </w:r>
      <w:r>
        <w:rPr>
          <w:rStyle w:val="NormalTok"/>
        </w:rPr>
        <w:t xml:space="preserve">(</w:t>
      </w:r>
      <w:r>
        <w:rPr>
          <w:rStyle w:val="StringTok"/>
        </w:rPr>
        <w:t xml:space="preserve">'total run-time'</w:t>
      </w:r>
      <w:r>
        <w:rPr>
          <w:rStyle w:val="NormalTok"/>
        </w:rPr>
        <w:t xml:space="preserve">)</w:t>
      </w:r>
      <w:r>
        <w:br/>
      </w:r>
      <w:r>
        <w:br/>
      </w:r>
      <w:r>
        <w:rPr>
          <w:rStyle w:val="CommentTok"/>
        </w:rPr>
        <w:t xml:space="preserve"># Note I have relabeled this originalReports</w:t>
      </w:r>
      <w:r>
        <w:br/>
      </w:r>
      <w:r>
        <w:rPr>
          <w:rStyle w:val="KeywordTok"/>
        </w:rPr>
        <w:t xml:space="preserve">load</w:t>
      </w:r>
      <w:r>
        <w:rPr>
          <w:rStyle w:val="NormalTok"/>
        </w:rPr>
        <w:t xml:space="preserve">(</w:t>
      </w:r>
      <w:r>
        <w:rPr>
          <w:rStyle w:val="StringTok"/>
        </w:rPr>
        <w:t xml:space="preserve">"./data/originalReports.RData"</w:t>
      </w:r>
      <w:r>
        <w:rPr>
          <w:rStyle w:val="NormalTok"/>
        </w:rPr>
        <w:t xml:space="preserve">)</w:t>
      </w:r>
      <w:r>
        <w:br/>
      </w:r>
      <w:r>
        <w:rPr>
          <w:rStyle w:val="KeywordTok"/>
        </w:rPr>
        <w:t xml:space="preserve">load</w:t>
      </w:r>
      <w:r>
        <w:rPr>
          <w:rStyle w:val="NormalTok"/>
        </w:rPr>
        <w:t xml:space="preserve">(</w:t>
      </w:r>
      <w:r>
        <w:rPr>
          <w:rStyle w:val="StringTok"/>
        </w:rPr>
        <w:t xml:space="preserve">"./data/customGroups.RData"</w:t>
      </w:r>
      <w:r>
        <w:rPr>
          <w:rStyle w:val="NormalTok"/>
        </w:rPr>
        <w:t xml:space="preserve">)</w:t>
      </w:r>
      <w:r>
        <w:br/>
      </w:r>
      <w:r>
        <w:rPr>
          <w:rStyle w:val="KeywordTok"/>
        </w:rPr>
        <w:t xml:space="preserve">load</w:t>
      </w:r>
      <w:r>
        <w:rPr>
          <w:rStyle w:val="NormalTok"/>
        </w:rPr>
        <w:t xml:space="preserve">(</w:t>
      </w:r>
      <w:r>
        <w:rPr>
          <w:rStyle w:val="StringTok"/>
        </w:rPr>
        <w:t xml:space="preserve">"./data/currencyCode.RData"</w:t>
      </w:r>
      <w:r>
        <w:rPr>
          <w:rStyle w:val="NormalTok"/>
        </w:rPr>
        <w:t xml:space="preserve">)</w:t>
      </w:r>
      <w:r>
        <w:br/>
      </w:r>
      <w:r>
        <w:br/>
      </w:r>
      <w:r>
        <w:rPr>
          <w:rStyle w:val="CommentTok"/>
        </w:rPr>
        <w:t xml:space="preserve"># Remove imported reports &amp; dev servers:</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(Server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'SQLODR2'</w:t>
      </w:r>
      <w:r>
        <w:rPr>
          <w:rStyle w:val="NormalTok"/>
        </w:rPr>
        <w:t xml:space="preserve">,</w:t>
      </w:r>
      <w:r>
        <w:rPr>
          <w:rStyle w:val="StringTok"/>
        </w:rPr>
        <w:t xml:space="preserve">'SQLODR3'</w:t>
      </w:r>
      <w:r>
        <w:rPr>
          <w:rStyle w:val="NormalTok"/>
        </w:rPr>
        <w:t xml:space="preserve">,</w:t>
      </w:r>
      <w:r>
        <w:rPr>
          <w:rStyle w:val="StringTok"/>
        </w:rPr>
        <w:t xml:space="preserve">'SQLODR6'</w:t>
      </w:r>
      <w:r>
        <w:rPr>
          <w:rStyle w:val="NormalTok"/>
        </w:rPr>
        <w:t xml:space="preserve">))</w:t>
      </w:r>
      <w:r>
        <w:br/>
      </w:r>
      <w:r>
        <w:br/>
      </w:r>
      <w:r>
        <w:rPr>
          <w:rStyle w:val="CommentTok"/>
        </w:rPr>
        <w:t xml:space="preserve"># Drop report with bad data:</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(RunTimeSEC))</w:t>
      </w:r>
      <w:r>
        <w:br/>
      </w:r>
      <w:r>
        <w:br/>
      </w:r>
      <w:r>
        <w:rPr>
          <w:rStyle w:val="KeywordTok"/>
        </w:rPr>
        <w:t xml:space="preserve">tic</w:t>
      </w:r>
      <w:r>
        <w:rPr>
          <w:rStyle w:val="NormalTok"/>
        </w:rPr>
        <w:t xml:space="preserve">(</w:t>
      </w:r>
      <w:r>
        <w:rPr>
          <w:rStyle w:val="StringTok"/>
        </w:rPr>
        <w:t xml:space="preserve">'clean XML'</w:t>
      </w:r>
      <w:r>
        <w:rPr>
          <w:rStyle w:val="NormalTok"/>
        </w:rPr>
        <w:t xml:space="preserve">)</w:t>
      </w:r>
      <w:r>
        <w:br/>
      </w:r>
      <w:r>
        <w:br/>
      </w:r>
      <w:r>
        <w:rPr>
          <w:rStyle w:val="CommentTok"/>
        </w:rPr>
        <w:t xml:space="preserve"># Clean up the XML:</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 </w:t>
      </w:r>
      <w:r>
        <w:rPr>
          <w:rStyle w:val="StringTok"/>
        </w:rPr>
        <w:t xml:space="preserve">'&gt;&gt;'</w:t>
      </w:r>
      <w:r>
        <w:rPr>
          <w:rStyle w:val="NormalTok"/>
        </w:rPr>
        <w:t xml:space="preserve">, </w:t>
      </w:r>
      <w:r>
        <w:rPr>
          <w:rStyle w:val="StringTok"/>
        </w:rPr>
        <w:t xml:space="preserve">'&gt;'</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 </w:t>
      </w:r>
      <w:r>
        <w:rPr>
          <w:rStyle w:val="StringTok"/>
        </w:rPr>
        <w:t xml:space="preserve">'&amp;'</w:t>
      </w:r>
      <w:r>
        <w:rPr>
          <w:rStyle w:val="NormalTok"/>
        </w:rPr>
        <w:t xml:space="preserve">, </w:t>
      </w:r>
      <w:r>
        <w:rPr>
          <w:rStyle w:val="StringTok"/>
        </w:rPr>
        <w:t xml:space="preserve">'-and-'</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 </w:t>
      </w:r>
      <w:r>
        <w:rPr>
          <w:rStyle w:val="StringTok"/>
        </w:rPr>
        <w:t xml:space="preserve">'Transaction Entry Date Thru'</w:t>
      </w:r>
      <w:r>
        <w:rPr>
          <w:rStyle w:val="NormalTok"/>
        </w:rPr>
        <w:t xml:space="preserve">, </w:t>
      </w:r>
      <w:r>
        <w:rPr>
          <w:rStyle w:val="StringTok"/>
        </w:rPr>
        <w:t xml:space="preserve">'TransactionEntryDateThru'</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w:t>
      </w:r>
      <w:r>
        <w:rPr>
          <w:rStyle w:val="StringTok"/>
        </w:rPr>
        <w:t xml:space="preserve">'(&lt;AgentCode&gt;.*&lt;/AgentCode&gt;)&lt;ODRParameters&gt;'</w:t>
      </w:r>
      <w:r>
        <w:rPr>
          <w:rStyle w:val="NormalTok"/>
        </w:rPr>
        <w:t xml:space="preserve">,</w:t>
      </w:r>
      <w:r>
        <w:rPr>
          <w:rStyle w:val="StringTok"/>
        </w:rPr>
        <w:t xml:space="preserve">'&lt;NewDataSet&gt;&lt;ODRParameters&gt;</w:t>
      </w:r>
      <w:r>
        <w:rPr>
          <w:rStyle w:val="CharTok"/>
        </w:rPr>
        <w:t xml:space="preserve">\\</w:t>
      </w:r>
      <w:r>
        <w:rPr>
          <w:rStyle w:val="StringTok"/>
        </w:rPr>
        <w:t xml:space="preserve">1'</w:t>
      </w:r>
      <w:r>
        <w:rPr>
          <w:rStyle w:val="NormalTok"/>
        </w:rPr>
        <w:t xml:space="preserve">)</w:t>
      </w:r>
      <w:r>
        <w:br/>
      </w:r>
      <w:r>
        <w:rPr>
          <w:rStyle w:val="KeywordTok"/>
        </w:rPr>
        <w:t xml:space="preserve">toc</w:t>
      </w:r>
      <w:r>
        <w:rPr>
          <w:rStyle w:val="NormalTok"/>
        </w:rPr>
        <w:t xml:space="preserve">()</w:t>
      </w:r>
      <w:r>
        <w:br/>
      </w:r>
      <w:r>
        <w:br/>
      </w:r>
      <w:r>
        <w:rPr>
          <w:rStyle w:val="KeywordTok"/>
        </w:rPr>
        <w:t xml:space="preserve">tic</w:t>
      </w:r>
      <w:r>
        <w:rPr>
          <w:rStyle w:val="NormalTok"/>
        </w:rPr>
        <w:t xml:space="preserve">(</w:t>
      </w:r>
      <w:r>
        <w:rPr>
          <w:rStyle w:val="StringTok"/>
        </w:rPr>
        <w:t xml:space="preserve">'XML to Cols'</w:t>
      </w:r>
      <w:r>
        <w:rPr>
          <w:rStyle w:val="NormalTok"/>
        </w:rPr>
        <w:t xml:space="preserve">)</w:t>
      </w:r>
      <w:r>
        <w:br/>
      </w:r>
      <w:r>
        <w:rPr>
          <w:rStyle w:val="CommentTok"/>
        </w:rPr>
        <w:t xml:space="preserve"># Parse XML values into Columns: (this might take a minute or two each)</w:t>
      </w:r>
      <w:r>
        <w:br/>
      </w:r>
      <w:r>
        <w:rPr>
          <w:rStyle w:val="NormalTok"/>
        </w:rPr>
        <w:t xml:space="preserve">reports</w:t>
      </w:r>
      <w:r>
        <w:rPr>
          <w:rStyle w:val="OperatorTok"/>
        </w:rPr>
        <w:t xml:space="preserve">$</w:t>
      </w:r>
      <w:r>
        <w:rPr>
          <w:rStyle w:val="NormalTok"/>
        </w:rPr>
        <w:t xml:space="preserve">GroupCustom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'&lt;GroupCustom&gt;'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'.//GroupCustom'</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CurrencyCode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'&lt;CurrencyCode&gt;'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'.//CurrencyCode'</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peratorTok"/>
        </w:rPr>
        <w:t xml:space="preserve">%&gt;%</w:t>
      </w:r>
      <w:r>
        <w:rPr>
          <w:rStyle w:val="StringTok"/>
        </w:rPr>
        <w:t xml:space="preserve"> </w:t>
      </w:r>
      <w:r>
        <w:rPr>
          <w:rStyle w:val="KeywordTok"/>
        </w:rPr>
        <w:t xml:space="preserve">toupper</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groupFI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'&lt;GroupFI&gt;'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'.//GroupFI'</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groupSF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'&lt;GroupSF&gt;'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'.//GroupSF'</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Agents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'&lt;AgentCode&gt;'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'.//AgentCode'</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KeywordTok"/>
        </w:rPr>
        <w:t xml:space="preserve">toc</w:t>
      </w:r>
      <w:r>
        <w:rPr>
          <w:rStyle w:val="NormalTok"/>
        </w:rPr>
        <w:t xml:space="preserve">()</w:t>
      </w:r>
      <w:r>
        <w:br/>
      </w:r>
      <w:r>
        <w:br/>
      </w:r>
      <w:r>
        <w:rPr>
          <w:rStyle w:val="CommentTok"/>
        </w:rPr>
        <w:t xml:space="preserve"># Capture number of days:</w:t>
      </w:r>
      <w:r>
        <w:br/>
      </w:r>
      <w:r>
        <w:rPr>
          <w:rStyle w:val="KeywordTok"/>
        </w:rPr>
        <w:t xml:space="preserve">tic</w:t>
      </w:r>
      <w:r>
        <w:rPr>
          <w:rStyle w:val="NormalTok"/>
        </w:rPr>
        <w:t xml:space="preserve">(</w:t>
      </w:r>
      <w:r>
        <w:rPr>
          <w:rStyle w:val="StringTok"/>
        </w:rPr>
        <w:t xml:space="preserve">"Dates"</w:t>
      </w:r>
      <w:r>
        <w:rPr>
          <w:rStyle w:val="NormalTok"/>
        </w:rPr>
        <w:t xml:space="preserve">)</w:t>
      </w:r>
      <w:r>
        <w:br/>
      </w:r>
      <w:r>
        <w:rPr>
          <w:rStyle w:val="NormalTok"/>
        </w:rPr>
        <w:t xml:space="preserve">reports</w:t>
      </w:r>
      <w:r>
        <w:rPr>
          <w:rStyle w:val="OperatorTok"/>
        </w:rPr>
        <w:t xml:space="preserve">$</w:t>
      </w:r>
      <w:r>
        <w:rPr>
          <w:rStyle w:val="NormalTok"/>
        </w:rPr>
        <w:t xml:space="preserve">DateFrom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'DateFrom&gt;</w:t>
      </w:r>
      <w:r>
        <w:rPr>
          <w:rStyle w:val="CharTok"/>
        </w:rPr>
        <w:t xml:space="preserve">\\</w:t>
      </w:r>
      <w:r>
        <w:rPr>
          <w:rStyle w:val="StringTok"/>
        </w:rPr>
        <w:t xml:space="preserve">d+'</w:t>
      </w:r>
      <w:r>
        <w:rPr>
          <w:rStyle w:val="OperatorTok"/>
        </w:rPr>
        <w:t xml:space="preserve">|</w:t>
      </w:r>
      <w:r>
        <w:rPr>
          <w:rStyle w:val="StringTok"/>
        </w:rPr>
        <w:t xml:space="preserve"> </w:t>
      </w:r>
      <w:r>
        <w:rPr>
          <w:rStyle w:val="NormalTok"/>
        </w:rPr>
        <w:t xml:space="preserve">x </w:t>
      </w:r>
      <w:r>
        <w:rPr>
          <w:rStyle w:val="OperatorTok"/>
        </w:rPr>
        <w:t xml:space="preserve">%like%</w:t>
      </w:r>
      <w:r>
        <w:rPr>
          <w:rStyle w:val="StringTok"/>
        </w:rPr>
        <w:t xml:space="preserve"> 'DateRangeFrom'</w:t>
      </w:r>
      <w:r>
        <w:rPr>
          <w:rStyle w:val="NormalTok"/>
        </w:rPr>
        <w:t xml:space="preserve">, </w:t>
      </w:r>
      <w:r>
        <w:rPr>
          <w:rStyle w:val="KeywordTok"/>
        </w:rPr>
        <w:t xml:space="preserve">str_replace</w:t>
      </w:r>
      <w:r>
        <w:rPr>
          <w:rStyle w:val="NormalTok"/>
        </w:rPr>
        <w:t xml:space="preserve">(x, </w:t>
      </w:r>
      <w:r>
        <w:rPr>
          <w:rStyle w:val="StringTok"/>
        </w:rPr>
        <w:t xml:space="preserve">'.*Date(RangeFrom|From)&gt;(</w:t>
      </w:r>
      <w:r>
        <w:rPr>
          <w:rStyle w:val="CharTok"/>
        </w:rPr>
        <w:t xml:space="preserve">\\</w:t>
      </w:r>
      <w:r>
        <w:rPr>
          <w:rStyle w:val="StringTok"/>
        </w:rPr>
        <w:t xml:space="preserve">d+)&lt;/.*'</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DateThru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'DateThru&gt;</w:t>
      </w:r>
      <w:r>
        <w:rPr>
          <w:rStyle w:val="CharTok"/>
        </w:rPr>
        <w:t xml:space="preserve">\\</w:t>
      </w:r>
      <w:r>
        <w:rPr>
          <w:rStyle w:val="StringTok"/>
        </w:rPr>
        <w:t xml:space="preserve">d+'</w:t>
      </w:r>
      <w:r>
        <w:rPr>
          <w:rStyle w:val="OperatorTok"/>
        </w:rPr>
        <w:t xml:space="preserve">|</w:t>
      </w:r>
      <w:r>
        <w:rPr>
          <w:rStyle w:val="StringTok"/>
        </w:rPr>
        <w:t xml:space="preserve"> </w:t>
      </w:r>
      <w:r>
        <w:rPr>
          <w:rStyle w:val="NormalTok"/>
        </w:rPr>
        <w:t xml:space="preserve">x </w:t>
      </w:r>
      <w:r>
        <w:rPr>
          <w:rStyle w:val="OperatorTok"/>
        </w:rPr>
        <w:t xml:space="preserve">%like%</w:t>
      </w:r>
      <w:r>
        <w:rPr>
          <w:rStyle w:val="StringTok"/>
        </w:rPr>
        <w:t xml:space="preserve"> 'DateRangeThru'</w:t>
      </w:r>
      <w:r>
        <w:rPr>
          <w:rStyle w:val="NormalTok"/>
        </w:rPr>
        <w:t xml:space="preserve">, </w:t>
      </w:r>
      <w:r>
        <w:rPr>
          <w:rStyle w:val="KeywordTok"/>
        </w:rPr>
        <w:t xml:space="preserve">str_replace</w:t>
      </w:r>
      <w:r>
        <w:rPr>
          <w:rStyle w:val="NormalTok"/>
        </w:rPr>
        <w:t xml:space="preserve">(x, </w:t>
      </w:r>
      <w:r>
        <w:rPr>
          <w:rStyle w:val="StringTok"/>
        </w:rPr>
        <w:t xml:space="preserve">'.*Date(RangeThru|Thru)&gt;(</w:t>
      </w:r>
      <w:r>
        <w:rPr>
          <w:rStyle w:val="CharTok"/>
        </w:rPr>
        <w:t xml:space="preserve">\\</w:t>
      </w:r>
      <w:r>
        <w:rPr>
          <w:rStyle w:val="StringTok"/>
        </w:rPr>
        <w:t xml:space="preserve">d+)&lt;/.*'</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OtherTok"/>
        </w:rPr>
        <w:t xml:space="preserve">NA</w:t>
      </w:r>
      <w:r>
        <w:rPr>
          <w:rStyle w:val="NormalTok"/>
        </w:rPr>
        <w:t xml:space="preserve">))</w:t>
      </w:r>
      <w:r>
        <w:br/>
      </w:r>
      <w:r>
        <w:br/>
      </w:r>
      <w:r>
        <w:rPr>
          <w:rStyle w:val="NormalTok"/>
        </w:rPr>
        <w:t xml:space="preserve">reports</w:t>
      </w:r>
      <w:r>
        <w:rPr>
          <w:rStyle w:val="OperatorTok"/>
        </w:rPr>
        <w:t xml:space="preserve">$</w:t>
      </w:r>
      <w:r>
        <w:rPr>
          <w:rStyle w:val="NormalTok"/>
        </w:rPr>
        <w:t xml:space="preserve">queued &lt;-</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QueuedDateTime)</w:t>
      </w:r>
      <w:r>
        <w:br/>
      </w:r>
      <w:r>
        <w:rPr>
          <w:rStyle w:val="NormalTok"/>
        </w:rPr>
        <w:t xml:space="preserve">reports</w:t>
      </w:r>
      <w:r>
        <w:rPr>
          <w:rStyle w:val="OperatorTok"/>
        </w:rPr>
        <w:t xml:space="preserve">$</w:t>
      </w:r>
      <w:r>
        <w:rPr>
          <w:rStyle w:val="NormalTok"/>
        </w:rPr>
        <w:t xml:space="preserve">queued &lt;-</w:t>
      </w:r>
      <w:r>
        <w:rPr>
          <w:rStyle w:val="StringTok"/>
        </w:rPr>
        <w:t xml:space="preserve"> </w:t>
      </w:r>
      <w:r>
        <w:rPr>
          <w:rStyle w:val="KeywordTok"/>
        </w:rPr>
        <w:t xml:space="preserve">str_replace_all</w:t>
      </w:r>
      <w:r>
        <w:rPr>
          <w:rStyle w:val="NormalTok"/>
        </w:rPr>
        <w:t xml:space="preserve">(reports</w:t>
      </w:r>
      <w:r>
        <w:rPr>
          <w:rStyle w:val="OperatorTok"/>
        </w:rPr>
        <w:t xml:space="preserve">$</w:t>
      </w:r>
      <w:r>
        <w:rPr>
          <w:rStyle w:val="NormalTok"/>
        </w:rPr>
        <w:t xml:space="preserve">queued,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reports</w:t>
      </w:r>
      <w:r>
        <w:rPr>
          <w:rStyle w:val="OperatorTok"/>
        </w:rPr>
        <w:t xml:space="preserve">$</w:t>
      </w:r>
      <w:r>
        <w:rPr>
          <w:rStyle w:val="NormalTok"/>
        </w:rPr>
        <w:t xml:space="preserve">DateThru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DateThru),</w:t>
      </w:r>
      <w:r>
        <w:rPr>
          <w:rStyle w:val="OtherTok"/>
        </w:rPr>
        <w:t xml:space="preserve">NA</w:t>
      </w:r>
      <w:r>
        <w:rPr>
          <w:rStyle w:val="NormalTok"/>
        </w:rPr>
        <w:t xml:space="preserve">,</w:t>
      </w:r>
      <w:r>
        <w:rPr>
          <w:rStyle w:val="KeywordTok"/>
        </w:rPr>
        <w:t xml:space="preserve">ifelse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OperatorTok"/>
        </w:rPr>
        <w:t xml:space="preserve">&gt;</w:t>
      </w:r>
      <w:r>
        <w:rPr>
          <w:rStyle w:val="StringTok"/>
        </w:rPr>
        <w:t xml:space="preserve"> </w:t>
      </w:r>
      <w:r>
        <w:rPr>
          <w:rStyle w:val="KeywordTok"/>
        </w:rPr>
        <w:t xml:space="preserve">as_date</w:t>
      </w:r>
      <w:r>
        <w:rPr>
          <w:rStyle w:val="NormalTok"/>
        </w:rPr>
        <w:t xml:space="preserve">(</w:t>
      </w:r>
      <w:r>
        <w:rPr>
          <w:rStyle w:val="StringTok"/>
        </w:rPr>
        <w:t xml:space="preserve">'20251231'</w:t>
      </w:r>
      <w:r>
        <w:rPr>
          <w:rStyle w:val="NormalTok"/>
        </w:rPr>
        <w:t xml:space="preserve">) </w:t>
      </w:r>
      <w:r>
        <w:rPr>
          <w:rStyle w:val="OperatorTok"/>
        </w:rPr>
        <w:t xml:space="preserve">|</w:t>
      </w:r>
      <w:r>
        <w:rPr>
          <w:rStyle w:val="StringTok"/>
        </w:rPr>
        <w:t xml:space="preserve"> </w:t>
      </w:r>
      <w:r>
        <w:rPr>
          <w:rStyle w:val="NormalTok"/>
        </w:rPr>
        <w:t xml:space="preserve">reports</w:t>
      </w:r>
      <w:r>
        <w:rPr>
          <w:rStyle w:val="OperatorTok"/>
        </w:rPr>
        <w:t xml:space="preserve">$</w:t>
      </w:r>
      <w:r>
        <w:rPr>
          <w:rStyle w:val="NormalTok"/>
        </w:rPr>
        <w:t xml:space="preserve">DateThru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DateThru), reports</w:t>
      </w:r>
      <w:r>
        <w:rPr>
          <w:rStyle w:val="OperatorTok"/>
        </w:rPr>
        <w:t xml:space="preserve">$</w:t>
      </w:r>
      <w:r>
        <w:rPr>
          <w:rStyle w:val="NormalTok"/>
        </w:rPr>
        <w:t xml:space="preserve">queued, reports</w:t>
      </w:r>
      <w:r>
        <w:rPr>
          <w:rStyle w:val="OperatorTok"/>
        </w:rPr>
        <w:t xml:space="preserve">$</w:t>
      </w:r>
      <w:r>
        <w:rPr>
          <w:rStyle w:val="NormalTok"/>
        </w:rPr>
        <w:t xml:space="preserve">DateThru))</w:t>
      </w:r>
      <w:r>
        <w:br/>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is.na</w:t>
      </w:r>
      <w:r>
        <w:rPr>
          <w:rStyle w:val="NormalTok"/>
        </w:rPr>
        <w:t xml:space="preserve">(reports</w:t>
      </w:r>
      <w:r>
        <w:rPr>
          <w:rStyle w:val="OperatorTok"/>
        </w:rPr>
        <w:t xml:space="preserve">$</w:t>
      </w:r>
      <w:r>
        <w:rPr>
          <w:rStyle w:val="NormalTok"/>
        </w:rPr>
        <w:t xml:space="preserve">DateThru) , </w:t>
      </w:r>
      <w:r>
        <w:rPr>
          <w:rStyle w:val="OtherTok"/>
        </w:rPr>
        <w:t xml:space="preserve">NA</w:t>
      </w:r>
      <w:r>
        <w:rPr>
          <w:rStyle w:val="NormalTok"/>
        </w:rPr>
        <w:t xml:space="preserve"> , </w:t>
      </w:r>
      <w:r>
        <w:rPr>
          <w:rStyle w:val="KeywordTok"/>
        </w:rPr>
        <w:t xml:space="preserve">difftime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KeywordTok"/>
        </w:rPr>
        <w:t xml:space="preserve">as_date</w:t>
      </w:r>
      <w:r>
        <w:rPr>
          <w:rStyle w:val="NormalTok"/>
        </w:rPr>
        <w:t xml:space="preserve">(reports</w:t>
      </w:r>
      <w:r>
        <w:rPr>
          <w:rStyle w:val="OperatorTok"/>
        </w:rPr>
        <w:t xml:space="preserve">$</w:t>
      </w:r>
      <w:r>
        <w:rPr>
          <w:rStyle w:val="NormalTok"/>
        </w:rPr>
        <w:t xml:space="preserve">DateFrom) , </w:t>
      </w:r>
      <w:r>
        <w:rPr>
          <w:rStyle w:val="DataTyp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DecValTok"/>
        </w:rPr>
        <w:t xml:space="preserve">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abs</w:t>
      </w:r>
      <w:r>
        <w:rPr>
          <w:rStyle w:val="NormalTok"/>
        </w:rPr>
        <w:t xml:space="preserve">(reports</w:t>
      </w:r>
      <w:r>
        <w:rPr>
          <w:rStyle w:val="OperatorTok"/>
        </w:rPr>
        <w:t xml:space="preserve">$</w:t>
      </w:r>
      <w:r>
        <w:rPr>
          <w:rStyle w:val="NormalTok"/>
        </w:rPr>
        <w:t xml:space="preserve">NumDays)</w:t>
      </w:r>
      <w:r>
        <w:br/>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'&gt;(CURRENT|PRIOR)YEAR&lt;'</w:t>
      </w:r>
      <w:r>
        <w:rPr>
          <w:rStyle w:val="NormalTok"/>
        </w:rPr>
        <w:t xml:space="preserve">, </w:t>
      </w:r>
      <w:r>
        <w:rPr>
          <w:rStyle w:val="DecValTok"/>
        </w:rPr>
        <w:t xml:space="preserve">365</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'&gt;(CURRENT|PRIOR)QUARTER&lt;'</w:t>
      </w:r>
      <w:r>
        <w:rPr>
          <w:rStyle w:val="NormalTok"/>
        </w:rPr>
        <w:t xml:space="preserve">, </w:t>
      </w:r>
      <w:r>
        <w:rPr>
          <w:rStyle w:val="DecValTok"/>
        </w:rPr>
        <w:t xml:space="preserve">91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'&gt;(CURRENT|PRIOR)MONTH&lt;'</w:t>
      </w:r>
      <w:r>
        <w:rPr>
          <w:rStyle w:val="NormalTok"/>
        </w:rPr>
        <w:t xml:space="preserve">, </w:t>
      </w:r>
      <w:r>
        <w:rPr>
          <w:rStyle w:val="DecValTok"/>
        </w:rPr>
        <w:t xml:space="preserve">30</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'&gt;(CURRENT|PRIOR)WEEK&lt;'</w:t>
      </w:r>
      <w:r>
        <w:rPr>
          <w:rStyle w:val="NormalTok"/>
        </w:rPr>
        <w:t xml:space="preserve">, </w:t>
      </w:r>
      <w:r>
        <w:rPr>
          <w:rStyle w:val="DecValTok"/>
        </w:rPr>
        <w:t xml:space="preserve">7</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'&gt;(CURRENT|PRIOR)DAY&lt;'</w:t>
      </w:r>
      <w:r>
        <w:rPr>
          <w:rStyle w:val="NormalTok"/>
        </w:rPr>
        <w:t xml:space="preserve">, </w:t>
      </w:r>
      <w:r>
        <w:rPr>
          <w:rStyle w:val="DecValTok"/>
        </w:rPr>
        <w:t xml:space="preserve">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'&gt;ROLLING3MONTHS&lt;'</w:t>
      </w:r>
      <w:r>
        <w:rPr>
          <w:rStyle w:val="NormalTok"/>
        </w:rPr>
        <w:t xml:space="preserve">, </w:t>
      </w:r>
      <w:r>
        <w:rPr>
          <w:rStyle w:val="DecValTok"/>
        </w:rPr>
        <w:t xml:space="preserve">91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'&gt;ROLLING6MONTHS&lt;'</w:t>
      </w:r>
      <w:r>
        <w:rPr>
          <w:rStyle w:val="NormalTok"/>
        </w:rPr>
        <w:t xml:space="preserve">, </w:t>
      </w:r>
      <w:r>
        <w:rPr>
          <w:rStyle w:val="DecValTok"/>
        </w:rPr>
        <w:t xml:space="preserve">182</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'&gt;ROLLING12MONTHS&lt;'</w:t>
      </w:r>
      <w:r>
        <w:rPr>
          <w:rStyle w:val="NormalTok"/>
        </w:rPr>
        <w:t xml:space="preserve">, </w:t>
      </w:r>
      <w:r>
        <w:rPr>
          <w:rStyle w:val="DecValTok"/>
        </w:rPr>
        <w:t xml:space="preserve">365</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'&gt;ROLLING15MONTHS&lt;'</w:t>
      </w:r>
      <w:r>
        <w:rPr>
          <w:rStyle w:val="NormalTok"/>
        </w:rPr>
        <w:t xml:space="preserve">, </w:t>
      </w:r>
      <w:r>
        <w:rPr>
          <w:rStyle w:val="DecValTok"/>
        </w:rPr>
        <w:t xml:space="preserve">456</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'&gt;ROLLING24MONTHS&lt;'</w:t>
      </w:r>
      <w:r>
        <w:rPr>
          <w:rStyle w:val="NormalTok"/>
        </w:rPr>
        <w:t xml:space="preserve">, </w:t>
      </w:r>
      <w:r>
        <w:rPr>
          <w:rStyle w:val="DecValTok"/>
        </w:rPr>
        <w:t xml:space="preserve">730</w:t>
      </w:r>
      <w:r>
        <w:rPr>
          <w:rStyle w:val="NormalTok"/>
        </w:rPr>
        <w:t xml:space="preserve">, reports</w:t>
      </w:r>
      <w:r>
        <w:rPr>
          <w:rStyle w:val="OperatorTok"/>
        </w:rPr>
        <w:t xml:space="preserve">$</w:t>
      </w:r>
      <w:r>
        <w:rPr>
          <w:rStyle w:val="NormalTok"/>
        </w:rPr>
        <w:t xml:space="preserve">NumDays)</w:t>
      </w:r>
      <w:r>
        <w:br/>
      </w:r>
      <w:r>
        <w:rPr>
          <w:rStyle w:val="KeywordTok"/>
        </w:rPr>
        <w:t xml:space="preserve">toc</w:t>
      </w:r>
      <w:r>
        <w:rPr>
          <w:rStyle w:val="NormalTok"/>
        </w:rPr>
        <w:t xml:space="preserve">()</w:t>
      </w:r>
      <w:r>
        <w:br/>
      </w:r>
      <w:r>
        <w:br/>
      </w:r>
      <w:r>
        <w:rPr>
          <w:rStyle w:val="CommentTok"/>
        </w:rPr>
        <w:t xml:space="preserve"># Count commas to determine number of Agents</w:t>
      </w:r>
      <w:r>
        <w:br/>
      </w:r>
      <w:r>
        <w:rPr>
          <w:rStyle w:val="NormalTok"/>
        </w:rPr>
        <w:t xml:space="preserve">reports</w:t>
      </w:r>
      <w:r>
        <w:rPr>
          <w:rStyle w:val="OperatorTok"/>
        </w:rPr>
        <w:t xml:space="preserve">$</w:t>
      </w:r>
      <w:r>
        <w:rPr>
          <w:rStyle w:val="NormalTok"/>
        </w:rPr>
        <w:t xml:space="preserve">AgentCount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Agents), </w:t>
      </w:r>
      <w:r>
        <w:rPr>
          <w:rStyle w:val="DecValTok"/>
        </w:rPr>
        <w:t xml:space="preserve">0</w:t>
      </w:r>
      <w:r>
        <w:rPr>
          <w:rStyle w:val="NormalTok"/>
        </w:rPr>
        <w:t xml:space="preserve">, </w:t>
      </w:r>
      <w:r>
        <w:rPr>
          <w:rStyle w:val="KeywordTok"/>
        </w:rPr>
        <w:t xml:space="preserve">str_count</w:t>
      </w:r>
      <w:r>
        <w:rPr>
          <w:rStyle w:val="NormalTok"/>
        </w:rPr>
        <w:t xml:space="preserve">(reports</w:t>
      </w:r>
      <w:r>
        <w:rPr>
          <w:rStyle w:val="OperatorTok"/>
        </w:rPr>
        <w:t xml:space="preserve">$</w:t>
      </w:r>
      <w:r>
        <w:rPr>
          <w:rStyle w:val="NormalTok"/>
        </w:rPr>
        <w:t xml:space="preserve">Agents, </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r>
      <w:r>
        <w:br/>
      </w:r>
      <w:r>
        <w:br/>
      </w:r>
      <w:r>
        <w:rPr>
          <w:rStyle w:val="CommentTok"/>
        </w:rPr>
        <w:t xml:space="preserve"># Join GroupCount to GroupCustom:</w:t>
      </w:r>
      <w:r>
        <w:br/>
      </w:r>
      <w:r>
        <w:rPr>
          <w:rStyle w:val="NormalTok"/>
        </w:rPr>
        <w:t xml:space="preserve">reports &lt;-</w:t>
      </w:r>
      <w:r>
        <w:rPr>
          <w:rStyle w:val="StringTok"/>
        </w:rPr>
        <w:t xml:space="preserve"> </w:t>
      </w:r>
      <w:r>
        <w:rPr>
          <w:rStyle w:val="KeywordTok"/>
        </w:rPr>
        <w:t xml:space="preserve">left_join</w:t>
      </w:r>
      <w:r>
        <w:rPr>
          <w:rStyle w:val="NormalTok"/>
        </w:rPr>
        <w:t xml:space="preserve">(reports, CustomGroups, </w:t>
      </w:r>
      <w:r>
        <w:rPr>
          <w:rStyle w:val="DataTypeTok"/>
        </w:rPr>
        <w:t xml:space="preserve">by=</w:t>
      </w:r>
      <w:r>
        <w:rPr>
          <w:rStyle w:val="KeywordTok"/>
        </w:rPr>
        <w:t xml:space="preserve">c</w:t>
      </w:r>
      <w:r>
        <w:rPr>
          <w:rStyle w:val="NormalTok"/>
        </w:rPr>
        <w:t xml:space="preserve">(</w:t>
      </w:r>
      <w:r>
        <w:rPr>
          <w:rStyle w:val="StringTok"/>
        </w:rPr>
        <w:t xml:space="preserve">'GroupCustom'</w:t>
      </w:r>
      <w:r>
        <w:rPr>
          <w:rStyle w:val="NormalTok"/>
        </w:rPr>
        <w:t xml:space="preserve"> =</w:t>
      </w:r>
      <w:r>
        <w:rPr>
          <w:rStyle w:val="StringTok"/>
        </w:rPr>
        <w:t xml:space="preserve"> 'CustomGroupCode'</w:t>
      </w:r>
      <w:r>
        <w:rPr>
          <w:rStyle w:val="NormalTok"/>
        </w:rPr>
        <w:t xml:space="preserve">))</w:t>
      </w:r>
      <w:r>
        <w:br/>
      </w:r>
      <w:r>
        <w:br/>
      </w:r>
      <w:r>
        <w:br/>
      </w:r>
      <w:r>
        <w:rPr>
          <w:rStyle w:val="CommentTok"/>
        </w:rPr>
        <w:t xml:space="preserve"># Capture original GroupCount</w:t>
      </w:r>
      <w:r>
        <w:br/>
      </w:r>
      <w:r>
        <w:rPr>
          <w:rStyle w:val="NormalTok"/>
        </w:rPr>
        <w:t xml:space="preserve">reports</w:t>
      </w:r>
      <w:r>
        <w:rPr>
          <w:rStyle w:val="OperatorTok"/>
        </w:rPr>
        <w:t xml:space="preserve">$</w:t>
      </w:r>
      <w:r>
        <w:rPr>
          <w:rStyle w:val="NormalTok"/>
        </w:rPr>
        <w:t xml:space="preserve">CustomGroupCount &lt;-</w:t>
      </w:r>
      <w:r>
        <w:rPr>
          <w:rStyle w:val="StringTok"/>
        </w:rPr>
        <w:t xml:space="preserve"> </w:t>
      </w:r>
      <w:r>
        <w:rPr>
          <w:rStyle w:val="NormalTok"/>
        </w:rPr>
        <w:t xml:space="preserve">reports</w:t>
      </w:r>
      <w:r>
        <w:rPr>
          <w:rStyle w:val="OperatorTok"/>
        </w:rPr>
        <w:t xml:space="preserve">$</w:t>
      </w:r>
      <w:r>
        <w:rPr>
          <w:rStyle w:val="NormalTok"/>
        </w:rPr>
        <w:t xml:space="preserve">GroupCount</w:t>
      </w:r>
      <w:r>
        <w:br/>
      </w:r>
      <w:r>
        <w:br/>
      </w:r>
      <w:r>
        <w:br/>
      </w:r>
      <w:r>
        <w:rPr>
          <w:rStyle w:val="CommentTok"/>
        </w:rPr>
        <w:t xml:space="preserve"># Build CurrencyCode counts: (this will take a few minutes)</w:t>
      </w:r>
      <w:r>
        <w:br/>
      </w:r>
      <w:r>
        <w:rPr>
          <w:rStyle w:val="KeywordTok"/>
        </w:rPr>
        <w:t xml:space="preserve">tic</w:t>
      </w:r>
      <w:r>
        <w:rPr>
          <w:rStyle w:val="NormalTok"/>
        </w:rPr>
        <w:t xml:space="preserve">(</w:t>
      </w:r>
      <w:r>
        <w:rPr>
          <w:rStyle w:val="StringTok"/>
        </w:rPr>
        <w:t xml:space="preserve">"CC Function"</w:t>
      </w:r>
      <w:r>
        <w:rPr>
          <w:rStyle w:val="NormalTok"/>
        </w:rPr>
        <w:t xml:space="preserve">)</w:t>
      </w:r>
      <w:r>
        <w:br/>
      </w:r>
      <w:r>
        <w:rPr>
          <w:rStyle w:val="NormalTok"/>
        </w:rPr>
        <w:t xml:space="preserve">reports</w:t>
      </w:r>
      <w:r>
        <w:rPr>
          <w:rStyle w:val="OperatorTok"/>
        </w:rPr>
        <w:t xml:space="preserve">$</w:t>
      </w:r>
      <w:r>
        <w:rPr>
          <w:rStyle w:val="NormalTok"/>
        </w:rPr>
        <w:t xml:space="preserve">CurrencyCodeGroups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CurrencyCode,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w:t>
      </w:r>
      <w:r>
        <w:rPr>
          <w:rStyle w:val="KeywordTok"/>
        </w:rPr>
        <w:t xml:space="preserve">getCCgroups</w:t>
      </w:r>
      <w:r>
        <w:rPr>
          <w:rStyle w:val="NormalTok"/>
        </w:rPr>
        <w:t xml:space="preserve">(x)))</w:t>
      </w:r>
      <w:r>
        <w:br/>
      </w:r>
      <w:r>
        <w:rPr>
          <w:rStyle w:val="KeywordTok"/>
        </w:rPr>
        <w:t xml:space="preserve">toc</w:t>
      </w:r>
      <w:r>
        <w:rPr>
          <w:rStyle w:val="NormalTok"/>
        </w:rPr>
        <w:t xml:space="preserve">()</w:t>
      </w:r>
      <w:r>
        <w:br/>
      </w:r>
      <w:r>
        <w:br/>
      </w:r>
      <w:r>
        <w:rPr>
          <w:rStyle w:val="CommentTok"/>
        </w:rPr>
        <w:t xml:space="preserve"># Merge GroupCounts:</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groupFI),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groupSF),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'&lt;ExtGroupNumber&gt;'</w:t>
      </w:r>
      <w:r>
        <w:rPr>
          <w:rStyle w:val="NormalTok"/>
        </w:rPr>
        <w:t xml:space="preserve">,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'&gt;ALLGROUPS&lt;'</w:t>
      </w:r>
      <w:r>
        <w:rPr>
          <w:rStyle w:val="NormalTok"/>
        </w:rPr>
        <w:t xml:space="preserve">, </w:t>
      </w:r>
      <w:r>
        <w:rPr>
          <w:rStyle w:val="DecValTok"/>
        </w:rPr>
        <w:t xml:space="preserve">8353</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GroupCount), reports</w:t>
      </w:r>
      <w:r>
        <w:rPr>
          <w:rStyle w:val="OperatorTok"/>
        </w:rPr>
        <w:t xml:space="preserve">$</w:t>
      </w:r>
      <w:r>
        <w:rPr>
          <w:rStyle w:val="NormalTok"/>
        </w:rPr>
        <w:t xml:space="preserve">CurrencyCodeGroups,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CurrencyCodeGroups </w:t>
      </w:r>
      <w:r>
        <w:rPr>
          <w:rStyle w:val="OperatorTok"/>
        </w:rPr>
        <w:t xml:space="preserve">&lt;</w:t>
      </w:r>
      <w:r>
        <w:rPr>
          <w:rStyle w:val="StringTok"/>
        </w:rPr>
        <w:t xml:space="preserve"> </w:t>
      </w:r>
      <w:r>
        <w:rPr>
          <w:rStyle w:val="NormalTok"/>
        </w:rPr>
        <w:t xml:space="preserve">reports</w:t>
      </w:r>
      <w:r>
        <w:rPr>
          <w:rStyle w:val="OperatorTok"/>
        </w:rPr>
        <w:t xml:space="preserve">$</w:t>
      </w:r>
      <w:r>
        <w:rPr>
          <w:rStyle w:val="NormalTok"/>
        </w:rPr>
        <w:t xml:space="preserve">GroupCount </w:t>
      </w:r>
      <w:r>
        <w:rPr>
          <w:rStyle w:val="OperatorTok"/>
        </w:rPr>
        <w:t xml:space="preserve">&amp;</w:t>
      </w:r>
      <w:r>
        <w:rPr>
          <w:rStyle w:val="StringTok"/>
        </w:rPr>
        <w:t xml:space="preserve"> </w:t>
      </w:r>
      <w:r>
        <w:rPr>
          <w:rStyle w:val="NormalTok"/>
        </w:rPr>
        <w:t xml:space="preserve">reports</w:t>
      </w:r>
      <w:r>
        <w:rPr>
          <w:rStyle w:val="OperatorTok"/>
        </w:rPr>
        <w:t xml:space="preserve">$</w:t>
      </w:r>
      <w:r>
        <w:rPr>
          <w:rStyle w:val="NormalTok"/>
        </w:rPr>
        <w:t xml:space="preserve">CurrencyCodeGroups </w:t>
      </w:r>
      <w:r>
        <w:rPr>
          <w:rStyle w:val="OperatorTok"/>
        </w:rPr>
        <w:t xml:space="preserve">&gt;</w:t>
      </w:r>
      <w:r>
        <w:rPr>
          <w:rStyle w:val="StringTok"/>
        </w:rPr>
        <w:t xml:space="preserve"> </w:t>
      </w:r>
      <w:r>
        <w:rPr>
          <w:rStyle w:val="DecValTok"/>
        </w:rPr>
        <w:t xml:space="preserve">0</w:t>
      </w:r>
      <w:r>
        <w:rPr>
          <w:rStyle w:val="NormalTok"/>
        </w:rPr>
        <w:t xml:space="preserve">, reports</w:t>
      </w:r>
      <w:r>
        <w:rPr>
          <w:rStyle w:val="OperatorTok"/>
        </w:rPr>
        <w:t xml:space="preserve">$</w:t>
      </w:r>
      <w:r>
        <w:rPr>
          <w:rStyle w:val="NormalTok"/>
        </w:rPr>
        <w:t xml:space="preserve">CurrencyCodeGroups,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GroupCount),</w:t>
      </w:r>
      <w:r>
        <w:rPr>
          <w:rStyle w:val="DecValTok"/>
        </w:rPr>
        <w:t xml:space="preserve">8353</w:t>
      </w:r>
      <w:r>
        <w:rPr>
          <w:rStyle w:val="NormalTok"/>
        </w:rPr>
        <w:t xml:space="preserve">,reports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GroupCount </w:t>
      </w:r>
      <w:r>
        <w:rPr>
          <w:rStyle w:val="OperatorTok"/>
        </w:rPr>
        <w:t xml:space="preserve">==</w:t>
      </w:r>
      <w:r>
        <w:rPr>
          <w:rStyle w:val="StringTok"/>
        </w:rPr>
        <w:t xml:space="preserve"> </w:t>
      </w:r>
      <w:r>
        <w:rPr>
          <w:rStyle w:val="DecValTok"/>
        </w:rPr>
        <w:t xml:space="preserve">0</w:t>
      </w:r>
      <w:r>
        <w:rPr>
          <w:rStyle w:val="NormalTok"/>
        </w:rPr>
        <w:t xml:space="preserve">),</w:t>
      </w:r>
      <w:r>
        <w:rPr>
          <w:rStyle w:val="DecValTok"/>
        </w:rPr>
        <w:t xml:space="preserve">8353</w:t>
      </w:r>
      <w:r>
        <w:rPr>
          <w:rStyle w:val="NormalTok"/>
        </w:rPr>
        <w:t xml:space="preserve">,reports</w:t>
      </w:r>
      <w:r>
        <w:rPr>
          <w:rStyle w:val="OperatorTok"/>
        </w:rPr>
        <w:t xml:space="preserve">$</w:t>
      </w:r>
      <w:r>
        <w:rPr>
          <w:rStyle w:val="NormalTok"/>
        </w:rPr>
        <w:t xml:space="preserve">GroupCount)</w:t>
      </w:r>
      <w:r>
        <w:br/>
      </w:r>
      <w:r>
        <w:br/>
      </w:r>
      <w:r>
        <w:rPr>
          <w:rStyle w:val="CommentTok"/>
        </w:rPr>
        <w:t xml:space="preserve"># Update report categories: Adam</w:t>
      </w:r>
      <w:r>
        <w:br/>
      </w:r>
      <w:r>
        <w:br/>
      </w:r>
      <w:r>
        <w:br/>
      </w:r>
      <w:r>
        <w:rPr>
          <w:rStyle w:val="NormalTok"/>
        </w:rPr>
        <w:t xml:space="preserve">reports</w:t>
      </w:r>
      <w:r>
        <w:rPr>
          <w:rStyle w:val="OperatorTok"/>
        </w:rPr>
        <w:t xml:space="preserve">$</w:t>
      </w:r>
      <w:r>
        <w:rPr>
          <w:rStyle w:val="NormalTok"/>
        </w:rPr>
        <w:t xml:space="preserve">ReportCategory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"Eligibility"</w:t>
      </w:r>
      <w:r>
        <w:rPr>
          <w:rStyle w:val="NormalTok"/>
        </w:rPr>
        <w:t xml:space="preserve">,</w:t>
      </w:r>
      <w:r>
        <w:rPr>
          <w:rStyle w:val="StringTok"/>
        </w:rPr>
        <w:t xml:space="preserve">"Accumulator"</w:t>
      </w:r>
      <w:r>
        <w:rPr>
          <w:rStyle w:val="NormalTok"/>
        </w:rPr>
        <w:t xml:space="preserve">,</w:t>
      </w:r>
      <w:r>
        <w:rPr>
          <w:rStyle w:val="StringTok"/>
        </w:rPr>
        <w:t xml:space="preserve">"EventHistory"</w:t>
      </w:r>
      <w:r>
        <w:rPr>
          <w:rStyle w:val="NormalTok"/>
        </w:rPr>
        <w:t xml:space="preserve">,</w:t>
      </w:r>
      <w:r>
        <w:rPr>
          <w:rStyle w:val="StringTok"/>
        </w:rPr>
        <w:t xml:space="preserve">"COBRA"</w:t>
      </w:r>
      <w:r>
        <w:rPr>
          <w:rStyle w:val="NormalTok"/>
        </w:rPr>
        <w:t xml:space="preserve">,</w:t>
      </w:r>
      <w:r>
        <w:br/>
      </w:r>
      <w:r>
        <w:rPr>
          <w:rStyle w:val="NormalTok"/>
        </w:rPr>
        <w:t xml:space="preserve">                                </w:t>
      </w:r>
      <w:r>
        <w:rPr>
          <w:rStyle w:val="StringTok"/>
        </w:rPr>
        <w:t xml:space="preserve">"RedCard"</w:t>
      </w:r>
      <w:r>
        <w:rPr>
          <w:rStyle w:val="NormalTok"/>
        </w:rPr>
        <w:t xml:space="preserve">,</w:t>
      </w:r>
      <w:r>
        <w:rPr>
          <w:rStyle w:val="StringTok"/>
        </w:rPr>
        <w:t xml:space="preserve">"ComPsych"</w:t>
      </w:r>
      <w:r>
        <w:rPr>
          <w:rStyle w:val="NormalTok"/>
        </w:rPr>
        <w:t xml:space="preserve">) </w:t>
      </w:r>
      <w:r>
        <w:rPr>
          <w:rStyle w:val="OperatorTok"/>
        </w:rPr>
        <w:t xml:space="preserve">~</w:t>
      </w:r>
      <w:r>
        <w:rPr>
          <w:rStyle w:val="StringTok"/>
        </w:rPr>
        <w:t xml:space="preserve"> "Eligibility"</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"Miscellaneous"</w:t>
      </w:r>
      <w:r>
        <w:rPr>
          <w:rStyle w:val="NormalTok"/>
        </w:rPr>
        <w:t xml:space="preserve">) </w:t>
      </w:r>
      <w:r>
        <w:rPr>
          <w:rStyle w:val="OperatorTok"/>
        </w:rPr>
        <w:t xml:space="preserve">~</w:t>
      </w:r>
      <w:r>
        <w:rPr>
          <w:rStyle w:val="StringTok"/>
        </w:rPr>
        <w:t xml:space="preserve"> "Miscellaneous"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"Reinsurance"</w:t>
      </w:r>
      <w:r>
        <w:rPr>
          <w:rStyle w:val="NormalTok"/>
        </w:rPr>
        <w:t xml:space="preserve">,</w:t>
      </w:r>
      <w:r>
        <w:rPr>
          <w:rStyle w:val="StringTok"/>
        </w:rPr>
        <w:t xml:space="preserve">"Aggregate Report"</w:t>
      </w:r>
      <w:r>
        <w:rPr>
          <w:rStyle w:val="NormalTok"/>
        </w:rPr>
        <w:t xml:space="preserve">)</w:t>
      </w:r>
      <w:r>
        <w:rPr>
          <w:rStyle w:val="OperatorTok"/>
        </w:rPr>
        <w:t xml:space="preserve">~</w:t>
      </w:r>
      <w:r>
        <w:rPr>
          <w:rStyle w:val="StringTok"/>
        </w:rPr>
        <w:t xml:space="preserve"> "Reinsurance"</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"PL"</w:t>
      </w:r>
      <w:r>
        <w:rPr>
          <w:rStyle w:val="NormalTok"/>
        </w:rPr>
        <w:t xml:space="preserve">)</w:t>
      </w:r>
      <w:r>
        <w:rPr>
          <w:rStyle w:val="OperatorTok"/>
        </w:rPr>
        <w:t xml:space="preserve">~</w:t>
      </w:r>
      <w:r>
        <w:rPr>
          <w:rStyle w:val="StringTok"/>
        </w:rPr>
        <w:t xml:space="preserve"> "Professional Liability"</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"Renewal"</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reports</w:t>
      </w:r>
      <w:r>
        <w:rPr>
          <w:rStyle w:val="OperatorTok"/>
        </w:rPr>
        <w:t xml:space="preserve">$</w:t>
      </w:r>
      <w:r>
        <w:rPr>
          <w:rStyle w:val="NormalTok"/>
        </w:rPr>
        <w:t xml:space="preserve">ReportGroupDescription </w:t>
      </w:r>
      <w:r>
        <w:rPr>
          <w:rStyle w:val="OperatorTok"/>
        </w:rPr>
        <w:t xml:space="preserve">==</w:t>
      </w:r>
      <w:r>
        <w:rPr>
          <w:rStyle w:val="StringTok"/>
        </w:rPr>
        <w:t xml:space="preserve"> "Commissions TFB"</w:t>
      </w:r>
      <w:r>
        <w:rPr>
          <w:rStyle w:val="NormalTok"/>
        </w:rPr>
        <w:t xml:space="preserve"> </w:t>
      </w:r>
      <w:r>
        <w:rPr>
          <w:rStyle w:val="OperatorTok"/>
        </w:rPr>
        <w:t xml:space="preserve">~</w:t>
      </w:r>
      <w:r>
        <w:rPr>
          <w:rStyle w:val="StringTok"/>
        </w:rPr>
        <w:t xml:space="preserve"> "Finance Commission"</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"Actuarial"</w:t>
      </w:r>
      <w:r>
        <w:rPr>
          <w:rStyle w:val="NormalTok"/>
        </w:rPr>
        <w:t xml:space="preserve">,</w:t>
      </w:r>
      <w:r>
        <w:rPr>
          <w:rStyle w:val="StringTok"/>
        </w:rPr>
        <w:t xml:space="preserve">"ISBReports"</w:t>
      </w:r>
      <w:r>
        <w:rPr>
          <w:rStyle w:val="NormalTok"/>
        </w:rPr>
        <w:t xml:space="preserve">,</w:t>
      </w:r>
      <w:r>
        <w:rPr>
          <w:rStyle w:val="StringTok"/>
        </w:rPr>
        <w:t xml:space="preserve">"Renewal"</w:t>
      </w:r>
      <w:r>
        <w:rPr>
          <w:rStyle w:val="NormalTok"/>
        </w:rPr>
        <w:t xml:space="preserve">)</w:t>
      </w:r>
      <w:r>
        <w:rPr>
          <w:rStyle w:val="OperatorTok"/>
        </w:rPr>
        <w:t xml:space="preserve">~</w:t>
      </w:r>
      <w:r>
        <w:rPr>
          <w:rStyle w:val="StringTok"/>
        </w:rPr>
        <w:t xml:space="preserve"> "Actuarial"</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"Commissions"</w:t>
      </w:r>
      <w:r>
        <w:rPr>
          <w:rStyle w:val="NormalTok"/>
        </w:rPr>
        <w:t xml:space="preserve">,</w:t>
      </w:r>
      <w:r>
        <w:rPr>
          <w:rStyle w:val="StringTok"/>
        </w:rPr>
        <w:t xml:space="preserve">"CRMOnlineFinance"</w:t>
      </w:r>
      <w:r>
        <w:rPr>
          <w:rStyle w:val="NormalTok"/>
        </w:rPr>
        <w:t xml:space="preserve">,</w:t>
      </w:r>
      <w:r>
        <w:rPr>
          <w:rStyle w:val="StringTok"/>
        </w:rPr>
        <w:t xml:space="preserve">"CommCnt"</w:t>
      </w:r>
      <w:r>
        <w:rPr>
          <w:rStyle w:val="NormalTok"/>
        </w:rPr>
        <w:t xml:space="preserve">,</w:t>
      </w:r>
      <w:r>
        <w:br/>
      </w:r>
      <w:r>
        <w:rPr>
          <w:rStyle w:val="NormalTok"/>
        </w:rPr>
        <w:t xml:space="preserve">                                </w:t>
      </w:r>
      <w:r>
        <w:rPr>
          <w:rStyle w:val="StringTok"/>
        </w:rPr>
        <w:t xml:space="preserve">"CommCompare"</w:t>
      </w:r>
      <w:r>
        <w:rPr>
          <w:rStyle w:val="NormalTok"/>
        </w:rPr>
        <w:t xml:space="preserve">)</w:t>
      </w:r>
      <w:r>
        <w:rPr>
          <w:rStyle w:val="OperatorTok"/>
        </w:rPr>
        <w:t xml:space="preserve">~</w:t>
      </w:r>
      <w:r>
        <w:rPr>
          <w:rStyle w:val="StringTok"/>
        </w:rPr>
        <w:t xml:space="preserve"> "Finance Commission"</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"ClaimsAudit"</w:t>
      </w:r>
      <w:r>
        <w:rPr>
          <w:rStyle w:val="NormalTok"/>
        </w:rPr>
        <w:t xml:space="preserve">,</w:t>
      </w:r>
      <w:r>
        <w:rPr>
          <w:rStyle w:val="StringTok"/>
        </w:rPr>
        <w:t xml:space="preserve">"CMSRepting"</w:t>
      </w:r>
      <w:r>
        <w:rPr>
          <w:rStyle w:val="NormalTok"/>
        </w:rPr>
        <w:t xml:space="preserve">,</w:t>
      </w:r>
      <w:r>
        <w:rPr>
          <w:rStyle w:val="StringTok"/>
        </w:rPr>
        <w:t xml:space="preserve">"Repository"</w:t>
      </w:r>
      <w:r>
        <w:rPr>
          <w:rStyle w:val="NormalTok"/>
        </w:rPr>
        <w:t xml:space="preserve">,</w:t>
      </w:r>
      <w:r>
        <w:rPr>
          <w:rStyle w:val="StringTok"/>
        </w:rPr>
        <w:t xml:space="preserve">"GilsbarPPO"</w:t>
      </w:r>
      <w:r>
        <w:rPr>
          <w:rStyle w:val="NormalTok"/>
        </w:rPr>
        <w:t xml:space="preserve">,</w:t>
      </w:r>
      <w:r>
        <w:rPr>
          <w:rStyle w:val="StringTok"/>
        </w:rPr>
        <w:t xml:space="preserve">"Claims"</w:t>
      </w:r>
      <w:r>
        <w:rPr>
          <w:rStyle w:val="NormalTok"/>
        </w:rPr>
        <w:t xml:space="preserve">)</w:t>
      </w:r>
      <w:r>
        <w:rPr>
          <w:rStyle w:val="OperatorTok"/>
        </w:rPr>
        <w:t xml:space="preserve">~</w:t>
      </w:r>
      <w:r>
        <w:rPr>
          <w:rStyle w:val="StringTok"/>
        </w:rPr>
        <w:t xml:space="preserve"> "Claims"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"Wellness Repository"</w:t>
      </w:r>
      <w:r>
        <w:rPr>
          <w:rStyle w:val="NormalTok"/>
        </w:rPr>
        <w:t xml:space="preserve">,</w:t>
      </w:r>
      <w:r>
        <w:rPr>
          <w:rStyle w:val="StringTok"/>
        </w:rPr>
        <w:t xml:space="preserve">"MedCom"</w:t>
      </w:r>
      <w:r>
        <w:rPr>
          <w:rStyle w:val="NormalTok"/>
        </w:rPr>
        <w:t xml:space="preserve">,</w:t>
      </w:r>
      <w:r>
        <w:rPr>
          <w:rStyle w:val="StringTok"/>
        </w:rPr>
        <w:t xml:space="preserve">"TVC"</w:t>
      </w:r>
      <w:r>
        <w:rPr>
          <w:rStyle w:val="NormalTok"/>
        </w:rPr>
        <w:t xml:space="preserve">,</w:t>
      </w:r>
      <w:r>
        <w:rPr>
          <w:rStyle w:val="StringTok"/>
        </w:rPr>
        <w:t xml:space="preserve">"MedInsight"</w:t>
      </w:r>
      <w:r>
        <w:rPr>
          <w:rStyle w:val="NormalTok"/>
        </w:rPr>
        <w:t xml:space="preserve">)</w:t>
      </w:r>
      <w:r>
        <w:rPr>
          <w:rStyle w:val="OperatorTok"/>
        </w:rPr>
        <w:t xml:space="preserve">~</w:t>
      </w:r>
      <w:r>
        <w:rPr>
          <w:rStyle w:val="StringTok"/>
        </w:rPr>
        <w:t xml:space="preserve"> "Medical Management"</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"iTrac"</w:t>
      </w:r>
      <w:r>
        <w:rPr>
          <w:rStyle w:val="NormalTok"/>
        </w:rPr>
        <w:t xml:space="preserve">,</w:t>
      </w:r>
      <w:r>
        <w:rPr>
          <w:rStyle w:val="StringTok"/>
        </w:rPr>
        <w:t xml:space="preserve">"TMS"</w:t>
      </w:r>
      <w:r>
        <w:rPr>
          <w:rStyle w:val="NormalTok"/>
        </w:rPr>
        <w:t xml:space="preserve">,</w:t>
      </w:r>
      <w:r>
        <w:rPr>
          <w:rStyle w:val="StringTok"/>
        </w:rPr>
        <w:t xml:space="preserve">"Customer Service"</w:t>
      </w:r>
      <w:r>
        <w:rPr>
          <w:rStyle w:val="NormalTok"/>
        </w:rPr>
        <w:t xml:space="preserve">,</w:t>
      </w:r>
      <w:r>
        <w:rPr>
          <w:rStyle w:val="StringTok"/>
        </w:rPr>
        <w:t xml:space="preserve">"ODR Admin"</w:t>
      </w:r>
      <w:r>
        <w:rPr>
          <w:rStyle w:val="NormalTok"/>
        </w:rPr>
        <w:t xml:space="preserve">,</w:t>
      </w:r>
      <w:r>
        <w:rPr>
          <w:rStyle w:val="StringTok"/>
        </w:rPr>
        <w:t xml:space="preserve">"PortalStats"</w:t>
      </w:r>
      <w:r>
        <w:rPr>
          <w:rStyle w:val="NormalTok"/>
        </w:rPr>
        <w:t xml:space="preserve">,</w:t>
      </w:r>
      <w:r>
        <w:br/>
      </w:r>
      <w:r>
        <w:rPr>
          <w:rStyle w:val="NormalTok"/>
        </w:rPr>
        <w:t xml:space="preserve">                                </w:t>
      </w:r>
      <w:r>
        <w:rPr>
          <w:rStyle w:val="StringTok"/>
        </w:rPr>
        <w:t xml:space="preserve">"AutoAdjudication"</w:t>
      </w:r>
      <w:r>
        <w:rPr>
          <w:rStyle w:val="NormalTok"/>
        </w:rPr>
        <w:t xml:space="preserve">,</w:t>
      </w:r>
      <w:r>
        <w:rPr>
          <w:rStyle w:val="StringTok"/>
        </w:rPr>
        <w:t xml:space="preserve">"Genelco"</w:t>
      </w:r>
      <w:r>
        <w:rPr>
          <w:rStyle w:val="NormalTok"/>
        </w:rPr>
        <w:t xml:space="preserve">,</w:t>
      </w:r>
      <w:r>
        <w:rPr>
          <w:rStyle w:val="StringTok"/>
        </w:rPr>
        <w:t xml:space="preserve">"Supervisor"</w:t>
      </w:r>
      <w:r>
        <w:rPr>
          <w:rStyle w:val="NormalTok"/>
        </w:rPr>
        <w:t xml:space="preserve">)</w:t>
      </w:r>
      <w:r>
        <w:rPr>
          <w:rStyle w:val="OperatorTok"/>
        </w:rPr>
        <w:t xml:space="preserve">~</w:t>
      </w:r>
      <w:r>
        <w:rPr>
          <w:rStyle w:val="StringTok"/>
        </w:rPr>
        <w:t xml:space="preserve"> "Metrics"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"DataExtracts"</w:t>
      </w:r>
      <w:r>
        <w:rPr>
          <w:rStyle w:val="NormalTok"/>
        </w:rPr>
        <w:t xml:space="preserve">,</w:t>
      </w:r>
      <w:r>
        <w:rPr>
          <w:rStyle w:val="StringTok"/>
        </w:rPr>
        <w:t xml:space="preserve">"Large Claims Reports"</w:t>
      </w:r>
      <w:r>
        <w:rPr>
          <w:rStyle w:val="NormalTok"/>
        </w:rPr>
        <w:t xml:space="preserve">)</w:t>
      </w:r>
      <w:r>
        <w:rPr>
          <w:rStyle w:val="OperatorTok"/>
        </w:rPr>
        <w:t xml:space="preserve">~</w:t>
      </w:r>
      <w:r>
        <w:rPr>
          <w:rStyle w:val="StringTok"/>
        </w:rPr>
        <w:t xml:space="preserve"> "Extract"</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"Billing"</w:t>
      </w:r>
      <w:r>
        <w:rPr>
          <w:rStyle w:val="NormalTok"/>
        </w:rPr>
        <w:t xml:space="preserve">, </w:t>
      </w:r>
      <w:r>
        <w:rPr>
          <w:rStyle w:val="StringTok"/>
        </w:rPr>
        <w:t xml:space="preserve">"Coverage"</w:t>
      </w:r>
      <w:r>
        <w:rPr>
          <w:rStyle w:val="NormalTok"/>
        </w:rPr>
        <w:t xml:space="preserve">,</w:t>
      </w:r>
      <w:r>
        <w:rPr>
          <w:rStyle w:val="StringTok"/>
        </w:rPr>
        <w:t xml:space="preserve">"Refunds"</w:t>
      </w:r>
      <w:r>
        <w:rPr>
          <w:rStyle w:val="NormalTok"/>
        </w:rPr>
        <w:t xml:space="preserve">,</w:t>
      </w:r>
      <w:r>
        <w:rPr>
          <w:rStyle w:val="StringTok"/>
        </w:rPr>
        <w:t xml:space="preserve">"Credit Card Process"</w:t>
      </w:r>
      <w:r>
        <w:rPr>
          <w:rStyle w:val="NormalTok"/>
        </w:rPr>
        <w:t xml:space="preserve">,</w:t>
      </w:r>
      <w:r>
        <w:rPr>
          <w:rStyle w:val="StringTok"/>
        </w:rPr>
        <w:t xml:space="preserve">"Deposit"</w:t>
      </w:r>
      <w:r>
        <w:br/>
      </w:r>
      <w:r>
        <w:rPr>
          <w:rStyle w:val="NormalTok"/>
        </w:rPr>
        <w:t xml:space="preserve">                                ,</w:t>
      </w:r>
      <w:r>
        <w:rPr>
          <w:rStyle w:val="StringTok"/>
        </w:rPr>
        <w:t xml:space="preserve">"CheckRecon"</w:t>
      </w:r>
      <w:r>
        <w:rPr>
          <w:rStyle w:val="NormalTok"/>
        </w:rPr>
        <w:t xml:space="preserve">,</w:t>
      </w:r>
      <w:r>
        <w:rPr>
          <w:rStyle w:val="StringTok"/>
        </w:rPr>
        <w:t xml:space="preserve">"Check Register"</w:t>
      </w:r>
      <w:r>
        <w:rPr>
          <w:rStyle w:val="NormalTok"/>
        </w:rPr>
        <w:t xml:space="preserve">,</w:t>
      </w:r>
      <w:r>
        <w:rPr>
          <w:rStyle w:val="StringTok"/>
        </w:rPr>
        <w:t xml:space="preserve">"FinancePremium"</w:t>
      </w:r>
      <w:r>
        <w:rPr>
          <w:rStyle w:val="NormalTok"/>
        </w:rPr>
        <w:t xml:space="preserve">, </w:t>
      </w:r>
      <w:r>
        <w:rPr>
          <w:rStyle w:val="StringTok"/>
        </w:rPr>
        <w:t xml:space="preserve">"Premium"</w:t>
      </w:r>
      <w:r>
        <w:rPr>
          <w:rStyle w:val="NormalTok"/>
        </w:rPr>
        <w:t xml:space="preserve">)</w:t>
      </w:r>
      <w:r>
        <w:rPr>
          <w:rStyle w:val="OperatorTok"/>
        </w:rPr>
        <w:t xml:space="preserve">~</w:t>
      </w:r>
      <w:r>
        <w:rPr>
          <w:rStyle w:val="StringTok"/>
        </w:rPr>
        <w:t xml:space="preserve"> "Finance Billing"</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CommentTok"/>
        </w:rPr>
        <w:t xml:space="preserve"># Engineered Features - Adam</w:t>
      </w:r>
      <w:r>
        <w:br/>
      </w:r>
      <w:r>
        <w:br/>
      </w:r>
      <w:r>
        <w:rPr>
          <w:rStyle w:val="NormalTok"/>
        </w:rPr>
        <w:t xml:space="preserve">reports</w:t>
      </w:r>
      <w:r>
        <w:rPr>
          <w:rStyle w:val="OperatorTok"/>
        </w:rPr>
        <w:t xml:space="preserve">$</w:t>
      </w:r>
      <w:r>
        <w:rPr>
          <w:rStyle w:val="NormalTok"/>
        </w:rPr>
        <w:t xml:space="preserve">ReportBuildTime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ReportEndDateTime, reports</w:t>
      </w:r>
      <w:r>
        <w:rPr>
          <w:rStyle w:val="OperatorTok"/>
        </w:rPr>
        <w:t xml:space="preserve">$</w:t>
      </w:r>
      <w:r>
        <w:rPr>
          <w:rStyle w:val="NormalTok"/>
        </w:rPr>
        <w:t xml:space="preserve">ReportStartDateTime,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ReportDeliveryTime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RenderEndDateTime, reports</w:t>
      </w:r>
      <w:r>
        <w:rPr>
          <w:rStyle w:val="OperatorTok"/>
        </w:rPr>
        <w:t xml:space="preserve">$</w:t>
      </w:r>
      <w:r>
        <w:rPr>
          <w:rStyle w:val="NormalTok"/>
        </w:rPr>
        <w:t xml:space="preserve">QueuedDateTime,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LagTime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RenderEndDateTime, reports</w:t>
      </w:r>
      <w:r>
        <w:rPr>
          <w:rStyle w:val="OperatorTok"/>
        </w:rPr>
        <w:t xml:space="preserve">$</w:t>
      </w:r>
      <w:r>
        <w:rPr>
          <w:rStyle w:val="NormalTok"/>
        </w:rPr>
        <w:t xml:space="preserve">ReportEndDateTime,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QueueTime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RenderStartDateTime, reports</w:t>
      </w:r>
      <w:r>
        <w:rPr>
          <w:rStyle w:val="OperatorTok"/>
        </w:rPr>
        <w:t xml:space="preserve">$</w:t>
      </w:r>
      <w:r>
        <w:rPr>
          <w:rStyle w:val="NormalTok"/>
        </w:rPr>
        <w:t xml:space="preserve">QueuedDateTime,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DayOfMonth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"%d"</w:t>
      </w:r>
      <w:r>
        <w:rPr>
          <w:rStyle w:val="NormalTok"/>
        </w:rPr>
        <w:t xml:space="preserve">)</w:t>
      </w:r>
      <w:r>
        <w:br/>
      </w:r>
      <w:r>
        <w:rPr>
          <w:rStyle w:val="NormalTok"/>
        </w:rPr>
        <w:t xml:space="preserve">reports</w:t>
      </w:r>
      <w:r>
        <w:rPr>
          <w:rStyle w:val="OperatorTok"/>
        </w:rPr>
        <w:t xml:space="preserve">$</w:t>
      </w:r>
      <w:r>
        <w:rPr>
          <w:rStyle w:val="NormalTok"/>
        </w:rPr>
        <w:t xml:space="preserve">DayOfWeek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"%A"</w:t>
      </w:r>
      <w:r>
        <w:rPr>
          <w:rStyle w:val="NormalTok"/>
        </w:rPr>
        <w:t xml:space="preserve">)</w:t>
      </w:r>
      <w:r>
        <w:br/>
      </w:r>
      <w:r>
        <w:rPr>
          <w:rStyle w:val="NormalTok"/>
        </w:rPr>
        <w:t xml:space="preserve">reports</w:t>
      </w:r>
      <w:r>
        <w:rPr>
          <w:rStyle w:val="OperatorTok"/>
        </w:rPr>
        <w:t xml:space="preserve">$</w:t>
      </w:r>
      <w:r>
        <w:rPr>
          <w:rStyle w:val="NormalTok"/>
        </w:rPr>
        <w:t xml:space="preserve">HourOfDay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"%H"</w:t>
      </w:r>
      <w:r>
        <w:rPr>
          <w:rStyle w:val="NormalTok"/>
        </w:rPr>
        <w:t xml:space="preserve">)</w:t>
      </w:r>
      <w:r>
        <w:br/>
      </w:r>
      <w:r>
        <w:br/>
      </w:r>
      <w:r>
        <w:br/>
      </w:r>
      <w:r>
        <w:rPr>
          <w:rStyle w:val="CommentTok"/>
        </w:rPr>
        <w:t xml:space="preserve"># NAs at a glance:</w:t>
      </w:r>
      <w:r>
        <w:br/>
      </w:r>
      <w:r>
        <w:rPr>
          <w:rStyle w:val="NormalTok"/>
        </w:rPr>
        <w:t xml:space="preserve">MissingValues &lt;-</w:t>
      </w:r>
      <w:r>
        <w:rPr>
          <w:rStyle w:val="StringTok"/>
        </w:rPr>
        <w:t xml:space="preserve"> </w:t>
      </w:r>
      <w:r>
        <w:rPr>
          <w:rStyle w:val="KeywordTok"/>
        </w:rPr>
        <w:t xml:space="preserve">sapply</w:t>
      </w:r>
      <w:r>
        <w:rPr>
          <w:rStyle w:val="NormalTok"/>
        </w:rPr>
        <w:t xml:space="preserve">(reports,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r>
      <w:r>
        <w:rPr>
          <w:rStyle w:val="NormalTok"/>
        </w:rPr>
        <w:t xml:space="preserve">MissingValues </w:t>
      </w:r>
      <w:r>
        <w:rPr>
          <w:rStyle w:val="OperatorTok"/>
        </w:rPr>
        <w:t xml:space="preserve">%&gt;%</w:t>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br/>
      </w:r>
      <w:r>
        <w:br/>
      </w:r>
      <w:r>
        <w:rPr>
          <w:rStyle w:val="CommentTok"/>
        </w:rPr>
        <w:t xml:space="preserve"># Drop extreme outliers, reports which are highly likely to be errors:</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(ReportDeliveryTime </w:t>
      </w:r>
      <w:r>
        <w:rPr>
          <w:rStyle w:val="OperatorTok"/>
        </w:rPr>
        <w:t xml:space="preserve">&lt;</w:t>
      </w:r>
      <w:r>
        <w:rPr>
          <w:rStyle w:val="StringTok"/>
        </w:rPr>
        <w:t xml:space="preserve"> </w:t>
      </w:r>
      <w:r>
        <w:rPr>
          <w:rStyle w:val="DecValTok"/>
        </w:rPr>
        <w:t xml:space="preserve">300000</w:t>
      </w:r>
      <w:r>
        <w:rPr>
          <w:rStyle w:val="NormalTok"/>
        </w:rPr>
        <w:t xml:space="preserve">)</w:t>
      </w:r>
      <w:r>
        <w:br/>
      </w:r>
      <w:r>
        <w:br/>
      </w:r>
      <w:r>
        <w:rPr>
          <w:rStyle w:val="CommentTok"/>
        </w:rPr>
        <w:t xml:space="preserve"># Remove delivery time &lt; 0</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(ReportDeliveryTime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CommentTok"/>
        </w:rPr>
        <w:t xml:space="preserve"># Convert to factors:</w:t>
      </w:r>
      <w:r>
        <w:br/>
      </w:r>
      <w:r>
        <w:rPr>
          <w:rStyle w:val="NormalTok"/>
        </w:rPr>
        <w:t xml:space="preserve">reports</w:t>
      </w:r>
      <w:r>
        <w:rPr>
          <w:rStyle w:val="OperatorTok"/>
        </w:rPr>
        <w:t xml:space="preserve">$</w:t>
      </w:r>
      <w:r>
        <w:rPr>
          <w:rStyle w:val="NormalTok"/>
        </w:rPr>
        <w:t xml:space="preserve">SchedFreq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SchedFreq)</w:t>
      </w:r>
      <w:r>
        <w:br/>
      </w:r>
      <w:r>
        <w:rPr>
          <w:rStyle w:val="NormalTok"/>
        </w:rPr>
        <w:t xml:space="preserve">reports</w:t>
      </w:r>
      <w:r>
        <w:rPr>
          <w:rStyle w:val="OperatorTok"/>
        </w:rPr>
        <w:t xml:space="preserve">$</w:t>
      </w:r>
      <w:r>
        <w:rPr>
          <w:rStyle w:val="NormalTok"/>
        </w:rPr>
        <w:t xml:space="preserve">TestProdIndicator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TestProdIndicator)</w:t>
      </w:r>
      <w:r>
        <w:br/>
      </w:r>
      <w:r>
        <w:rPr>
          <w:rStyle w:val="NormalTok"/>
        </w:rPr>
        <w:t xml:space="preserve">reports</w:t>
      </w:r>
      <w:r>
        <w:rPr>
          <w:rStyle w:val="OperatorTok"/>
        </w:rPr>
        <w:t xml:space="preserve">$</w:t>
      </w:r>
      <w:r>
        <w:rPr>
          <w:rStyle w:val="NormalTok"/>
        </w:rPr>
        <w:t xml:space="preserve">DelivMthd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DelivMthd)</w:t>
      </w:r>
      <w:r>
        <w:br/>
      </w:r>
      <w:r>
        <w:rPr>
          <w:rStyle w:val="NormalTok"/>
        </w:rPr>
        <w:t xml:space="preserve">reports</w:t>
      </w:r>
      <w:r>
        <w:rPr>
          <w:rStyle w:val="OperatorTok"/>
        </w:rPr>
        <w:t xml:space="preserve">$</w:t>
      </w:r>
      <w:r>
        <w:rPr>
          <w:rStyle w:val="NormalTok"/>
        </w:rPr>
        <w:t xml:space="preserve">DayOfMonth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DayOfMonth)</w:t>
      </w:r>
      <w:r>
        <w:br/>
      </w:r>
      <w:r>
        <w:rPr>
          <w:rStyle w:val="NormalTok"/>
        </w:rPr>
        <w:t xml:space="preserve">reports</w:t>
      </w:r>
      <w:r>
        <w:rPr>
          <w:rStyle w:val="OperatorTok"/>
        </w:rPr>
        <w:t xml:space="preserve">$</w:t>
      </w:r>
      <w:r>
        <w:rPr>
          <w:rStyle w:val="NormalTok"/>
        </w:rPr>
        <w:t xml:space="preserve">DayOfWeek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DayOfWeek)</w:t>
      </w:r>
      <w:r>
        <w:br/>
      </w:r>
      <w:r>
        <w:rPr>
          <w:rStyle w:val="NormalTok"/>
        </w:rPr>
        <w:t xml:space="preserve">reports</w:t>
      </w:r>
      <w:r>
        <w:rPr>
          <w:rStyle w:val="OperatorTok"/>
        </w:rPr>
        <w:t xml:space="preserve">$</w:t>
      </w:r>
      <w:r>
        <w:rPr>
          <w:rStyle w:val="NormalTok"/>
        </w:rPr>
        <w:t xml:space="preserve">ReportCategory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ReportCategory)</w:t>
      </w:r>
      <w:r>
        <w:br/>
      </w:r>
      <w:r>
        <w:rPr>
          <w:rStyle w:val="NormalTok"/>
        </w:rPr>
        <w:t xml:space="preserve">reports</w:t>
      </w:r>
      <w:r>
        <w:rPr>
          <w:rStyle w:val="OperatorTok"/>
        </w:rPr>
        <w:t xml:space="preserve">$</w:t>
      </w:r>
      <w:r>
        <w:rPr>
          <w:rStyle w:val="NormalTok"/>
        </w:rPr>
        <w:t xml:space="preserve">RptFrmt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RptFrmt)</w:t>
      </w:r>
      <w:r>
        <w:br/>
      </w:r>
      <w:r>
        <w:rPr>
          <w:rStyle w:val="NormalTok"/>
        </w:rPr>
        <w:t xml:space="preserve">reports</w:t>
      </w:r>
      <w:r>
        <w:rPr>
          <w:rStyle w:val="OperatorTok"/>
        </w:rPr>
        <w:t xml:space="preserve">$</w:t>
      </w:r>
      <w:r>
        <w:rPr>
          <w:rStyle w:val="NormalTok"/>
        </w:rPr>
        <w:t xml:space="preserve">Priority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Priority)</w:t>
      </w:r>
      <w:r>
        <w:br/>
      </w:r>
      <w:r>
        <w:rPr>
          <w:rStyle w:val="NormalTok"/>
        </w:rPr>
        <w:t xml:space="preserve">reports</w:t>
      </w:r>
      <w:r>
        <w:rPr>
          <w:rStyle w:val="OperatorTok"/>
        </w:rPr>
        <w:t xml:space="preserve">$</w:t>
      </w:r>
      <w:r>
        <w:rPr>
          <w:rStyle w:val="NormalTok"/>
        </w:rPr>
        <w:t xml:space="preserve">HourOfDay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HourOfDay)</w:t>
      </w:r>
      <w:r>
        <w:br/>
      </w:r>
      <w:r>
        <w:rPr>
          <w:rStyle w:val="NormalTok"/>
        </w:rPr>
        <w:t xml:space="preserve">reports</w:t>
      </w:r>
      <w:r>
        <w:rPr>
          <w:rStyle w:val="OperatorTok"/>
        </w:rPr>
        <w:t xml:space="preserve">$</w:t>
      </w:r>
      <w:r>
        <w:rPr>
          <w:rStyle w:val="NormalTok"/>
        </w:rPr>
        <w:t xml:space="preserve">Server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Server)</w:t>
      </w:r>
      <w:r>
        <w:br/>
      </w:r>
      <w:r>
        <w:br/>
      </w:r>
      <w:r>
        <w:rPr>
          <w:rStyle w:val="CommentTok"/>
        </w:rPr>
        <w:t xml:space="preserve"># Add some time binning variables:</w:t>
      </w:r>
      <w:r>
        <w:br/>
      </w:r>
      <w:r>
        <w:rPr>
          <w:rStyle w:val="NormalTok"/>
        </w:rPr>
        <w:t xml:space="preserve">reports</w:t>
      </w:r>
      <w:r>
        <w:rPr>
          <w:rStyle w:val="OperatorTok"/>
        </w:rPr>
        <w:t xml:space="preserve">$</w:t>
      </w:r>
      <w:r>
        <w:rPr>
          <w:rStyle w:val="NormalTok"/>
        </w:rPr>
        <w:t xml:space="preserve">HourBinned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 </w:t>
      </w:r>
      <w:r>
        <w:rPr>
          <w:rStyle w:val="OperatorTok"/>
        </w:rPr>
        <w:t xml:space="preserve">~</w:t>
      </w:r>
      <w:r>
        <w:rPr>
          <w:rStyle w:val="StringTok"/>
        </w:rPr>
        <w:t xml:space="preserve"> "0607"</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"0809"</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"1011"</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"1213"</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OperatorTok"/>
        </w:rPr>
        <w:t xml:space="preserve">~</w:t>
      </w:r>
      <w:r>
        <w:rPr>
          <w:rStyle w:val="StringTok"/>
        </w:rPr>
        <w:t xml:space="preserve"> "1415"</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"1617"</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"1823"</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w:t>
      </w:r>
      <w:r>
        <w:rPr>
          <w:rStyle w:val="OperatorTok"/>
        </w:rPr>
        <w:t xml:space="preserve">~</w:t>
      </w:r>
      <w:r>
        <w:rPr>
          <w:rStyle w:val="StringTok"/>
        </w:rPr>
        <w:t xml:space="preserve"> "0005"</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NormalTok"/>
        </w:rPr>
        <w:t xml:space="preserve">reports</w:t>
      </w:r>
      <w:r>
        <w:rPr>
          <w:rStyle w:val="OperatorTok"/>
        </w:rPr>
        <w:t xml:space="preserve">$</w:t>
      </w:r>
      <w:r>
        <w:rPr>
          <w:rStyle w:val="NormalTok"/>
        </w:rPr>
        <w:t xml:space="preserve">TimeBlock3h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 </w:t>
      </w:r>
      <w:r>
        <w:rPr>
          <w:rStyle w:val="OperatorTok"/>
        </w:rPr>
        <w:t xml:space="preserve">~</w:t>
      </w:r>
      <w:r>
        <w:rPr>
          <w:rStyle w:val="StringTok"/>
        </w:rPr>
        <w:t xml:space="preserve"> "Maintenance"</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 </w:t>
      </w:r>
      <w:r>
        <w:rPr>
          <w:rStyle w:val="OperatorTok"/>
        </w:rPr>
        <w:t xml:space="preserve">~</w:t>
      </w:r>
      <w:r>
        <w:rPr>
          <w:rStyle w:val="StringTok"/>
        </w:rPr>
        <w:t xml:space="preserve"> "6am-8am"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"9am-11am"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StringTok"/>
        </w:rPr>
        <w:t xml:space="preserve">"14"</w:t>
      </w:r>
      <w:r>
        <w:rPr>
          <w:rStyle w:val="NormalTok"/>
        </w:rPr>
        <w:t xml:space="preserve">)</w:t>
      </w:r>
      <w:r>
        <w:rPr>
          <w:rStyle w:val="OperatorTok"/>
        </w:rPr>
        <w:t xml:space="preserve">~</w:t>
      </w:r>
      <w:r>
        <w:rPr>
          <w:rStyle w:val="StringTok"/>
        </w:rPr>
        <w:t xml:space="preserve"> "12pm-2pm"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"3pm-5pm"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"Overnight"</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NormalTok"/>
        </w:rPr>
        <w:t xml:space="preserve">reports</w:t>
      </w:r>
      <w:r>
        <w:rPr>
          <w:rStyle w:val="OperatorTok"/>
        </w:rPr>
        <w:t xml:space="preserve">$</w:t>
      </w:r>
      <w:r>
        <w:rPr>
          <w:rStyle w:val="NormalTok"/>
        </w:rPr>
        <w:t xml:space="preserve">TimeBlock4h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 </w:t>
      </w:r>
      <w:r>
        <w:rPr>
          <w:rStyle w:val="OperatorTok"/>
        </w:rPr>
        <w:t xml:space="preserve">~</w:t>
      </w:r>
      <w:r>
        <w:rPr>
          <w:rStyle w:val="StringTok"/>
        </w:rPr>
        <w:t xml:space="preserve"> "Maintenance"</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"6am-9am"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"10am-1pm"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"2pm-5pm"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"Overnight"</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br/>
      </w:r>
      <w:r>
        <w:rPr>
          <w:rStyle w:val="CommentTok"/>
        </w:rPr>
        <w:t xml:space="preserve"># Stash the original data before we drop columns</w:t>
      </w:r>
      <w:r>
        <w:br/>
      </w:r>
      <w:r>
        <w:rPr>
          <w:rStyle w:val="NormalTok"/>
        </w:rPr>
        <w:t xml:space="preserve">reportsOrg &lt;-</w:t>
      </w:r>
      <w:r>
        <w:rPr>
          <w:rStyle w:val="StringTok"/>
        </w:rPr>
        <w:t xml:space="preserve"> </w:t>
      </w:r>
      <w:r>
        <w:rPr>
          <w:rStyle w:val="NormalTok"/>
        </w:rPr>
        <w:t xml:space="preserve">reports</w:t>
      </w:r>
      <w:r>
        <w:br/>
      </w:r>
      <w:r>
        <w:br/>
      </w:r>
      <w:r>
        <w:rPr>
          <w:rStyle w:val="CommentTok"/>
        </w:rPr>
        <w:t xml:space="preserve"># Drop columns we don't need:</w:t>
      </w:r>
      <w:r>
        <w:br/>
      </w:r>
      <w:r>
        <w:rPr>
          <w:rStyle w:val="NormalTok"/>
        </w:rPr>
        <w:t xml:space="preserve">dropColumns &lt;-</w:t>
      </w:r>
      <w:r>
        <w:rPr>
          <w:rStyle w:val="StringTok"/>
        </w:rPr>
        <w:t xml:space="preserve"> </w:t>
      </w:r>
      <w:r>
        <w:rPr>
          <w:rStyle w:val="KeywordTok"/>
        </w:rPr>
        <w:t xml:space="preserve">c</w:t>
      </w:r>
      <w:r>
        <w:rPr>
          <w:rStyle w:val="NormalTok"/>
        </w:rPr>
        <w:t xml:space="preserve">(</w:t>
      </w:r>
      <w:r>
        <w:rPr>
          <w:rStyle w:val="StringTok"/>
        </w:rPr>
        <w:t xml:space="preserve">'XMLResponseString'</w:t>
      </w:r>
      <w:r>
        <w:rPr>
          <w:rStyle w:val="NormalTok"/>
        </w:rPr>
        <w:t xml:space="preserve">,</w:t>
      </w:r>
      <w:r>
        <w:rPr>
          <w:rStyle w:val="StringTok"/>
        </w:rPr>
        <w:t xml:space="preserve">'ReportGroupDescription'</w:t>
      </w:r>
      <w:r>
        <w:rPr>
          <w:rStyle w:val="NormalTok"/>
        </w:rPr>
        <w:t xml:space="preserve">,</w:t>
      </w:r>
      <w:r>
        <w:rPr>
          <w:rStyle w:val="StringTok"/>
        </w:rPr>
        <w:t xml:space="preserve">'ReportPath'</w:t>
      </w:r>
      <w:r>
        <w:rPr>
          <w:rStyle w:val="NormalTok"/>
        </w:rPr>
        <w:t xml:space="preserve">,</w:t>
      </w:r>
      <w:r>
        <w:rPr>
          <w:rStyle w:val="StringTok"/>
        </w:rPr>
        <w:t xml:space="preserve">'StatusDesc'</w:t>
      </w:r>
      <w:r>
        <w:rPr>
          <w:rStyle w:val="NormalTok"/>
        </w:rPr>
        <w:t xml:space="preserve">,</w:t>
      </w:r>
      <w:r>
        <w:rPr>
          <w:rStyle w:val="StringTok"/>
        </w:rPr>
        <w:t xml:space="preserve">'NotifiedDateTime'</w:t>
      </w:r>
      <w:r>
        <w:rPr>
          <w:rStyle w:val="NormalTok"/>
        </w:rPr>
        <w:t xml:space="preserve">,</w:t>
      </w:r>
      <w:r>
        <w:rPr>
          <w:rStyle w:val="StringTok"/>
        </w:rPr>
        <w:t xml:space="preserve">'DeletedDateTime'</w:t>
      </w:r>
      <w:r>
        <w:rPr>
          <w:rStyle w:val="NormalTok"/>
        </w:rPr>
        <w:t xml:space="preserve">,</w:t>
      </w:r>
      <w:r>
        <w:rPr>
          <w:rStyle w:val="StringTok"/>
        </w:rPr>
        <w:t xml:space="preserve">'FormDeleted'</w:t>
      </w:r>
      <w:r>
        <w:rPr>
          <w:rStyle w:val="NormalTok"/>
        </w:rPr>
        <w:t xml:space="preserve">,</w:t>
      </w:r>
      <w:r>
        <w:rPr>
          <w:rStyle w:val="StringTok"/>
        </w:rPr>
        <w:t xml:space="preserve">'ProcessId'</w:t>
      </w:r>
      <w:r>
        <w:rPr>
          <w:rStyle w:val="NormalTok"/>
        </w:rPr>
        <w:t xml:space="preserve">,</w:t>
      </w:r>
      <w:r>
        <w:rPr>
          <w:rStyle w:val="StringTok"/>
        </w:rPr>
        <w:t xml:space="preserve">'FormId'</w:t>
      </w:r>
      <w:r>
        <w:rPr>
          <w:rStyle w:val="NormalTok"/>
        </w:rPr>
        <w:t xml:space="preserve">,</w:t>
      </w:r>
      <w:r>
        <w:rPr>
          <w:rStyle w:val="StringTok"/>
        </w:rPr>
        <w:t xml:space="preserve">'QueueId'</w:t>
      </w:r>
      <w:r>
        <w:rPr>
          <w:rStyle w:val="NormalTok"/>
        </w:rPr>
        <w:t xml:space="preserve">,</w:t>
      </w:r>
      <w:r>
        <w:rPr>
          <w:rStyle w:val="StringTok"/>
        </w:rPr>
        <w:t xml:space="preserve">'RunTimeInMinsSecs'</w:t>
      </w:r>
      <w:r>
        <w:rPr>
          <w:rStyle w:val="NormalTok"/>
        </w:rPr>
        <w:t xml:space="preserve">,</w:t>
      </w:r>
      <w:r>
        <w:rPr>
          <w:rStyle w:val="StringTok"/>
        </w:rPr>
        <w:t xml:space="preserve">'RptCategoryId'</w:t>
      </w:r>
      <w:r>
        <w:rPr>
          <w:rStyle w:val="NormalTok"/>
        </w:rPr>
        <w:t xml:space="preserve">,</w:t>
      </w:r>
      <w:r>
        <w:rPr>
          <w:rStyle w:val="StringTok"/>
        </w:rPr>
        <w:t xml:space="preserve">'CurrencyCodeGroups'</w:t>
      </w:r>
      <w:r>
        <w:rPr>
          <w:rStyle w:val="NormalTok"/>
        </w:rPr>
        <w:t xml:space="preserve">,</w:t>
      </w:r>
      <w:r>
        <w:rPr>
          <w:rStyle w:val="StringTok"/>
        </w:rPr>
        <w:t xml:space="preserve">'CustomGroupCount'</w:t>
      </w:r>
      <w:r>
        <w:rPr>
          <w:rStyle w:val="NormalTok"/>
        </w:rPr>
        <w:t xml:space="preserve">,</w:t>
      </w:r>
      <w:r>
        <w:rPr>
          <w:rStyle w:val="StringTok"/>
        </w:rPr>
        <w:t xml:space="preserve">'RptCategoryDesc'</w:t>
      </w:r>
      <w:r>
        <w:rPr>
          <w:rStyle w:val="NormalTok"/>
        </w:rPr>
        <w:t xml:space="preserve">, </w:t>
      </w:r>
      <w:r>
        <w:rPr>
          <w:rStyle w:val="StringTok"/>
        </w:rPr>
        <w:t xml:space="preserve">'RuntimeSec'</w:t>
      </w:r>
      <w:r>
        <w:rPr>
          <w:rStyle w:val="NormalTok"/>
        </w:rPr>
        <w:t xml:space="preserve">, </w:t>
      </w:r>
      <w:r>
        <w:rPr>
          <w:rStyle w:val="StringTok"/>
        </w:rPr>
        <w:t xml:space="preserve">'NearestStartHour'</w:t>
      </w:r>
      <w:r>
        <w:rPr>
          <w:rStyle w:val="NormalTok"/>
        </w:rPr>
        <w:t xml:space="preserve">,</w:t>
      </w:r>
      <w:r>
        <w:rPr>
          <w:rStyle w:val="StringTok"/>
        </w:rPr>
        <w:t xml:space="preserve">'XMLResponseStringClean'</w:t>
      </w:r>
      <w:r>
        <w:rPr>
          <w:rStyle w:val="NormalTok"/>
        </w:rPr>
        <w:t xml:space="preserve">,</w:t>
      </w:r>
      <w:r>
        <w:rPr>
          <w:rStyle w:val="StringTok"/>
        </w:rPr>
        <w:t xml:space="preserve">'RunTimeSEC'</w:t>
      </w:r>
      <w:r>
        <w:rPr>
          <w:rStyle w:val="NormalTok"/>
        </w:rPr>
        <w:t xml:space="preserve">,</w:t>
      </w:r>
      <w:r>
        <w:rPr>
          <w:rStyle w:val="StringTok"/>
        </w:rPr>
        <w:t xml:space="preserve">'ReportStartDay'</w:t>
      </w:r>
      <w:r>
        <w:rPr>
          <w:rStyle w:val="NormalTok"/>
        </w:rPr>
        <w:t xml:space="preserve">)</w:t>
      </w:r>
      <w:r>
        <w:br/>
      </w:r>
      <w:r>
        <w:br/>
      </w:r>
      <w:r>
        <w:rPr>
          <w:rStyle w:val="NormalTok"/>
        </w:rPr>
        <w:t xml:space="preserve">reports &lt;-</w:t>
      </w:r>
      <w:r>
        <w:rPr>
          <w:rStyle w:val="StringTok"/>
        </w:rPr>
        <w:t xml:space="preserve"> </w:t>
      </w:r>
      <w:r>
        <w:rPr>
          <w:rStyle w:val="NormalTok"/>
        </w:rPr>
        <w:t xml:space="preserve">reports[ , </w:t>
      </w:r>
      <w:r>
        <w:rPr>
          <w:rStyle w:val="OperatorTok"/>
        </w:rPr>
        <w:t xml:space="preserve">!</w:t>
      </w:r>
      <w:r>
        <w:rPr>
          <w:rStyle w:val="NormalTok"/>
        </w:rPr>
        <w:t xml:space="preserve">(</w:t>
      </w:r>
      <w:r>
        <w:rPr>
          <w:rStyle w:val="KeywordTok"/>
        </w:rPr>
        <w:t xml:space="preserve">names</w:t>
      </w:r>
      <w:r>
        <w:rPr>
          <w:rStyle w:val="NormalTok"/>
        </w:rPr>
        <w:t xml:space="preserve">(reports) </w:t>
      </w:r>
      <w:r>
        <w:rPr>
          <w:rStyle w:val="OperatorTok"/>
        </w:rPr>
        <w:t xml:space="preserve">%in%</w:t>
      </w:r>
      <w:r>
        <w:rPr>
          <w:rStyle w:val="StringTok"/>
        </w:rPr>
        <w:t xml:space="preserve"> </w:t>
      </w:r>
      <w:r>
        <w:rPr>
          <w:rStyle w:val="NormalTok"/>
        </w:rPr>
        <w:t xml:space="preserve">dropColumns)]</w:t>
      </w:r>
      <w:r>
        <w:br/>
      </w:r>
      <w:r>
        <w:br/>
      </w:r>
      <w:r>
        <w:rPr>
          <w:rStyle w:val="CommentTok"/>
        </w:rPr>
        <w:t xml:space="preserve"># Save data for analysis:</w:t>
      </w:r>
      <w:r>
        <w:br/>
      </w:r>
      <w:r>
        <w:rPr>
          <w:rStyle w:val="KeywordTok"/>
        </w:rPr>
        <w:t xml:space="preserve">save</w:t>
      </w:r>
      <w:r>
        <w:rPr>
          <w:rStyle w:val="NormalTok"/>
        </w:rPr>
        <w:t xml:space="preserve">(reports, </w:t>
      </w:r>
      <w:r>
        <w:rPr>
          <w:rStyle w:val="DataTypeTok"/>
        </w:rPr>
        <w:t xml:space="preserve">file=</w:t>
      </w:r>
      <w:r>
        <w:rPr>
          <w:rStyle w:val="StringTok"/>
        </w:rPr>
        <w:t xml:space="preserve">"./data/reports.RData"</w:t>
      </w:r>
      <w:r>
        <w:rPr>
          <w:rStyle w:val="NormalTok"/>
        </w:rPr>
        <w:t xml:space="preserve">)</w:t>
      </w:r>
      <w:r>
        <w:br/>
      </w:r>
      <w:r>
        <w:rPr>
          <w:rStyle w:val="KeywordTok"/>
        </w:rPr>
        <w:t xml:space="preserve">save</w:t>
      </w:r>
      <w:r>
        <w:rPr>
          <w:rStyle w:val="NormalTok"/>
        </w:rPr>
        <w:t xml:space="preserve">(reportsOrg, </w:t>
      </w:r>
      <w:r>
        <w:rPr>
          <w:rStyle w:val="DataTypeTok"/>
        </w:rPr>
        <w:t xml:space="preserve">file=</w:t>
      </w:r>
      <w:r>
        <w:rPr>
          <w:rStyle w:val="StringTok"/>
        </w:rPr>
        <w:t xml:space="preserve">"./data/reportsFull.RData"</w:t>
      </w:r>
      <w:r>
        <w:rPr>
          <w:rStyle w:val="NormalTok"/>
        </w:rPr>
        <w:t xml:space="preserve">)</w:t>
      </w:r>
      <w:r>
        <w:br/>
      </w:r>
      <w:r>
        <w:br/>
      </w:r>
      <w:r>
        <w:rPr>
          <w:rStyle w:val="KeywordTok"/>
        </w:rPr>
        <w:t xml:space="preserve">toc</w:t>
      </w:r>
      <w:r>
        <w:rPr>
          <w:rStyle w:val="NormalTok"/>
        </w:rPr>
        <w:t xml:space="preserve">()</w:t>
      </w:r>
    </w:p>
    <w:p>
      <w:pPr>
        <w:pStyle w:val="Heading1"/>
      </w:pPr>
      <w:bookmarkStart w:id="74" w:name="Xc715f22849929d5e45a5723033149181fe47c51"/>
      <w:r>
        <w:t xml:space="preserve">Appendix: 2-way ANOVA - Dealing with violation of SD assumption</w:t>
      </w:r>
      <w:bookmarkEnd w:id="74"/>
    </w:p>
    <w:p>
      <w:pPr>
        <w:pStyle w:val="FirstParagraph"/>
      </w:pPr>
      <w:r>
        <w:t xml:space="preserve">The difference in standard deviation between the various groups is concerning. On-line research yielded the following article</w:t>
      </w:r>
      <w:r>
        <w:t xml:space="preserve"> </w:t>
      </w:r>
      <w:hyperlink r:id="rId75">
        <w:r>
          <w:rPr>
            <w:rStyle w:val="Hyperlink"/>
          </w:rPr>
          <w:t xml:space="preserve">https://link.springer.com/article/10.3758/s13428-017-0918-2?shared-article-renderer#Tab6</w:t>
        </w:r>
      </w:hyperlink>
      <w:r>
        <w:t xml:space="preserve"> </w:t>
      </w:r>
      <w:r>
        <w:t xml:space="preserve">. The article indicates that a useful measure of unequal variance is the Variance ratio. This ratio is simply the largest group variance divided by the smallest group variance. Looking at the summary statistics table for hours binned we find that:</w:t>
      </w:r>
    </w:p>
    <w:p>
      <w:pPr>
        <w:pStyle w:val="BodyText"/>
      </w:pPr>
      <m:oMathPara>
        <m:oMathParaPr>
          <m:jc m:val="center"/>
        </m:oMathParaPr>
        <m:oMath>
          <m:r>
            <m:t>V</m:t>
          </m:r>
          <m:r>
            <m:t>a</m:t>
          </m:r>
          <m:r>
            <m:t>r</m:t>
          </m:r>
          <m:r>
            <m:t>i</m:t>
          </m:r>
          <m:r>
            <m:t>a</m:t>
          </m:r>
          <m:r>
            <m:t>n</m:t>
          </m:r>
          <m:r>
            <m:t>c</m:t>
          </m:r>
          <m:r>
            <m:t>e</m:t>
          </m:r>
          <m:r>
            <m:t>R</m:t>
          </m:r>
          <m:r>
            <m:t>a</m:t>
          </m:r>
          <m:r>
            <m:t>t</m:t>
          </m:r>
          <m:r>
            <m:t>i</m:t>
          </m:r>
          <m:r>
            <m:t>o</m:t>
          </m:r>
          <m:r>
            <m:t>=</m:t>
          </m:r>
          <m:f>
            <m:fPr>
              <m:type m:val="bar"/>
            </m:fPr>
            <m:num>
              <m:r>
                <m:t>(</m:t>
              </m:r>
              <m:sSub>
                <m:e>
                  <m:r>
                    <m:t>σ</m:t>
                  </m:r>
                </m:e>
                <m:sub>
                  <m:r>
                    <m:t>m</m:t>
                  </m:r>
                  <m:r>
                    <m:t>a</m:t>
                  </m:r>
                  <m:r>
                    <m:t>x</m:t>
                  </m:r>
                </m:sub>
              </m:sSub>
              <m:sSup>
                <m:e>
                  <m:r>
                    <m:t>)</m:t>
                  </m:r>
                </m:e>
                <m:sup>
                  <m:r>
                    <m:t>2</m:t>
                  </m:r>
                </m:sup>
              </m:sSup>
            </m:num>
            <m:den>
              <m:r>
                <m:t>(</m:t>
              </m:r>
              <m:sSub>
                <m:e>
                  <m:r>
                    <m:t>σ</m:t>
                  </m:r>
                </m:e>
                <m:sub>
                  <m:r>
                    <m:t>m</m:t>
                  </m:r>
                  <m:r>
                    <m:t>i</m:t>
                  </m:r>
                  <m:r>
                    <m:t>n</m:t>
                  </m:r>
                </m:sub>
              </m:sSub>
              <m:sSup>
                <m:e>
                  <m:r>
                    <m:t>)</m:t>
                  </m:r>
                </m:e>
                <m:sup>
                  <m:r>
                    <m:t>2</m:t>
                  </m:r>
                </m:sup>
              </m:sSup>
            </m:den>
          </m:f>
          <m:r>
            <m:t>=</m:t>
          </m:r>
          <m:f>
            <m:fPr>
              <m:type m:val="bar"/>
            </m:fPr>
            <m:num>
              <m:sSup>
                <m:e>
                  <m:r>
                    <m:t>2.84</m:t>
                  </m:r>
                </m:e>
                <m:sup>
                  <m:r>
                    <m:t>2</m:t>
                  </m:r>
                </m:sup>
              </m:sSup>
            </m:num>
            <m:den>
              <m:sSup>
                <m:e>
                  <m:r>
                    <m:t>1.20</m:t>
                  </m:r>
                </m:e>
                <m:sup>
                  <m:r>
                    <m:t>2</m:t>
                  </m:r>
                </m:sup>
              </m:sSup>
            </m:den>
          </m:f>
          <m:r>
            <m:t>=</m:t>
          </m:r>
          <m:r>
            <m:t>5.6</m:t>
          </m:r>
        </m:oMath>
      </m:oMathPara>
    </w:p>
    <w:p>
      <w:pPr>
        <w:pStyle w:val="FirstParagraph"/>
      </w:pPr>
      <w:r>
        <w:t xml:space="preserve">The correlation between the sample size and variance is -0.81. The coefficient of sample size variation</w:t>
      </w:r>
      <w:r>
        <w:t xml:space="preserve"> </w:t>
      </w:r>
      <m:oMath>
        <m:r>
          <m:t>Δ</m:t>
        </m:r>
        <m:r>
          <m:t>n</m:t>
        </m:r>
      </m:oMath>
      <w:r>
        <w:t xml:space="preserve"> </w:t>
      </w:r>
      <w:r>
        <w:t xml:space="preserve">was calculated to be:</w:t>
      </w:r>
      <w:r>
        <w:t xml:space="preserve"> </w:t>
      </w:r>
      <m:oMath>
        <m:f>
          <m:fPr>
            <m:type m:val="bar"/>
          </m:fPr>
          <m:num>
            <m:r>
              <m:t>S</m:t>
            </m:r>
            <m:r>
              <m:t>D</m:t>
            </m:r>
            <m:r>
              <m:t>(</m:t>
            </m:r>
            <m:r>
              <m:t>G</m:t>
            </m:r>
            <m:r>
              <m:t>r</m:t>
            </m:r>
            <m:r>
              <m:t>o</m:t>
            </m:r>
            <m:r>
              <m:t>u</m:t>
            </m:r>
            <m:r>
              <m:t>p</m:t>
            </m:r>
            <m:r>
              <m:t>S</m:t>
            </m:r>
            <m:r>
              <m:t>a</m:t>
            </m:r>
            <m:r>
              <m:t>m</m:t>
            </m:r>
            <m:r>
              <m:t>p</m:t>
            </m:r>
            <m:r>
              <m:t>l</m:t>
            </m:r>
            <m:r>
              <m:t>e</m:t>
            </m:r>
            <m:r>
              <m:t>S</m:t>
            </m:r>
            <m:r>
              <m:t>i</m:t>
            </m:r>
            <m:r>
              <m:t>z</m:t>
            </m:r>
            <m:r>
              <m:t>e</m:t>
            </m:r>
            <m:r>
              <m:t>)</m:t>
            </m:r>
          </m:num>
          <m:den>
            <m:r>
              <m:t>m</m:t>
            </m:r>
            <m:r>
              <m:t>e</m:t>
            </m:r>
            <m:r>
              <m:t>a</m:t>
            </m:r>
            <m:r>
              <m:t>n</m:t>
            </m:r>
            <m:r>
              <m:t>(</m:t>
            </m:r>
            <m:r>
              <m:t>G</m:t>
            </m:r>
            <m:r>
              <m:t>r</m:t>
            </m:r>
            <m:r>
              <m:t>o</m:t>
            </m:r>
            <m:r>
              <m:t>u</m:t>
            </m:r>
            <m:r>
              <m:t>p</m:t>
            </m:r>
            <m:r>
              <m:t>S</m:t>
            </m:r>
            <m:r>
              <m:t>a</m:t>
            </m:r>
            <m:r>
              <m:t>m</m:t>
            </m:r>
            <m:r>
              <m:t>p</m:t>
            </m:r>
            <m:r>
              <m:t>l</m:t>
            </m:r>
            <m:r>
              <m:t>e</m:t>
            </m:r>
            <m:r>
              <m:t>S</m:t>
            </m:r>
            <m:r>
              <m:t>i</m:t>
            </m:r>
            <m:r>
              <m:t>z</m:t>
            </m:r>
            <m:r>
              <m:t>e</m:t>
            </m:r>
            <m:r>
              <m:t>)</m:t>
            </m:r>
          </m:den>
        </m:f>
        <m:r>
          <m:t>=</m:t>
        </m:r>
        <m:r>
          <m:t>0.932</m:t>
        </m:r>
      </m:oMath>
    </w:p>
    <w:p>
      <w:pPr>
        <w:pStyle w:val="BodyText"/>
      </w:pPr>
      <w:r>
        <w:t xml:space="preserve">According to the article’s conclusions with the parameters as calculated highlighted below (Table 10 of the article) the Type I error ratio will be liberal. However, most p-values reported by the two-way ANOVA are very small. The effects of unequal sample size and unequal variance within the sample groups should only affect relatively few term pairings. Assume p-values can be as much as four times larger than the given value.</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Variance ratio</w:t>
            </w:r>
          </w:p>
        </w:tc>
        <w:tc>
          <w:tcPr>
            <w:tcBorders>
              <w:bottom w:val="single"/>
            </w:tcBorders>
            <w:vAlign w:val="bottom"/>
          </w:tcPr>
          <w:p>
            <w:pPr>
              <w:pStyle w:val="Compact"/>
              <w:jc w:val="left"/>
            </w:pPr>
            <w:r>
              <w:t xml:space="preserve">Pairing</w:t>
            </w:r>
          </w:p>
        </w:tc>
        <w:tc>
          <w:tcPr>
            <w:tcBorders>
              <w:bottom w:val="single"/>
            </w:tcBorders>
            <w:vAlign w:val="bottom"/>
          </w:tcPr>
          <w:p>
            <w:pPr>
              <w:pStyle w:val="Compact"/>
              <w:jc w:val="left"/>
            </w:pPr>
            <w:r>
              <w:t xml:space="preserve">Coefficient of sample size variation</w:t>
            </w:r>
          </w:p>
        </w:tc>
        <w:tc>
          <w:tcPr>
            <w:tcBorders>
              <w:bottom w:val="single"/>
            </w:tcBorders>
            <w:vAlign w:val="bottom"/>
          </w:tcPr>
          <w:p>
            <w:pPr>
              <w:pStyle w:val="Compact"/>
              <w:jc w:val="left"/>
            </w:pPr>
            <w:r>
              <w:t xml:space="preserve">Type I error rate</w:t>
            </w:r>
          </w:p>
        </w:tc>
      </w:tr>
      <w:tr>
        <w:tc>
          <w:p>
            <w:pPr>
              <w:pStyle w:val="Compact"/>
              <w:jc w:val="left"/>
            </w:pPr>
            <w:r>
              <w:t xml:space="preserve">1.6, 1.7, 1.8</w:t>
            </w:r>
          </w:p>
        </w:tc>
        <w:tc>
          <w:p>
            <w:pPr>
              <w:pStyle w:val="Compact"/>
              <w:jc w:val="left"/>
            </w:pPr>
            <w:r>
              <w:t xml:space="preserve">+/− 1</w:t>
            </w:r>
          </w:p>
        </w:tc>
        <w:tc>
          <w:p>
            <w:pPr>
              <w:pStyle w:val="Compact"/>
              <w:jc w:val="left"/>
            </w:pPr>
            <w:r>
              <w:t xml:space="preserve">0.50</w:t>
            </w:r>
          </w:p>
        </w:tc>
        <w:tc>
          <w:p>
            <w:pPr>
              <w:pStyle w:val="Compact"/>
              <w:jc w:val="left"/>
            </w:pPr>
            <w:r>
              <w:t xml:space="preserve">Liberal</w:t>
            </w:r>
          </w:p>
        </w:tc>
      </w:tr>
      <w:tr>
        <w:tc>
          <w:p>
            <w:pPr>
              <w:pStyle w:val="Compact"/>
              <w:jc w:val="left"/>
            </w:pPr>
            <w:r>
              <w:t xml:space="preserve">2</w:t>
            </w:r>
          </w:p>
        </w:tc>
        <w:tc>
          <w:p>
            <w:pPr>
              <w:pStyle w:val="Compact"/>
              <w:jc w:val="left"/>
            </w:pPr>
            <w:r>
              <w:t xml:space="preserve">−1</w:t>
            </w:r>
          </w:p>
        </w:tc>
        <w:tc>
          <w:p>
            <w:pPr>
              <w:pStyle w:val="Compact"/>
              <w:jc w:val="left"/>
            </w:pPr>
            <w:r>
              <w:t xml:space="preserve">0.33; 0.50</w:t>
            </w:r>
          </w:p>
        </w:tc>
        <w:tc>
          <w:p>
            <w:pPr>
              <w:pStyle w:val="Compact"/>
              <w:jc w:val="left"/>
            </w:pPr>
            <w:r>
              <w:t xml:space="preserve">Liberal</w:t>
            </w:r>
          </w:p>
        </w:tc>
      </w:tr>
      <w:tr>
        <w:tc>
          <w:p>
            <w:pPr>
              <w:pStyle w:val="Compact"/>
              <w:jc w:val="left"/>
            </w:pPr>
            <w:r>
              <w:t xml:space="preserve">3</w:t>
            </w:r>
          </w:p>
        </w:tc>
        <w:tc>
          <w:p>
            <w:pPr>
              <w:pStyle w:val="Compact"/>
              <w:jc w:val="left"/>
            </w:pPr>
            <w:r>
              <w:t xml:space="preserve">1</w:t>
            </w:r>
          </w:p>
        </w:tc>
        <w:tc>
          <w:p>
            <w:pPr>
              <w:pStyle w:val="Compact"/>
              <w:jc w:val="left"/>
            </w:pPr>
            <w:r>
              <w:t xml:space="preserve">0.50</w:t>
            </w:r>
          </w:p>
        </w:tc>
        <w:tc>
          <w:p>
            <w:pPr>
              <w:pStyle w:val="Compact"/>
              <w:jc w:val="left"/>
            </w:pPr>
            <w:r>
              <w:t xml:space="preserve">Conservative</w:t>
            </w:r>
          </w:p>
        </w:tc>
      </w:tr>
      <w:tr>
        <w:tc>
          <w:p/>
        </w:tc>
        <w:tc>
          <w:p>
            <w:pPr>
              <w:pStyle w:val="Compact"/>
              <w:jc w:val="left"/>
            </w:pPr>
            <w:r>
              <w:t xml:space="preserve">−.50</w:t>
            </w:r>
          </w:p>
        </w:tc>
        <w:tc>
          <w:p>
            <w:pPr>
              <w:pStyle w:val="Compact"/>
              <w:jc w:val="left"/>
            </w:pPr>
            <w:r>
              <w:t xml:space="preserve">0.50</w:t>
            </w:r>
          </w:p>
        </w:tc>
        <w:tc>
          <w:p>
            <w:pPr>
              <w:pStyle w:val="Compact"/>
              <w:jc w:val="left"/>
            </w:pPr>
            <w:r>
              <w:t xml:space="preserve">Liberal</w:t>
            </w:r>
          </w:p>
        </w:tc>
      </w:tr>
      <w:tr>
        <w:tc>
          <w:p/>
        </w:tc>
        <w:tc>
          <w:p>
            <w:pPr>
              <w:pStyle w:val="Compact"/>
              <w:jc w:val="left"/>
            </w:pPr>
            <w:r>
              <w:t xml:space="preserve">−1</w:t>
            </w:r>
          </w:p>
        </w:tc>
        <w:tc>
          <w:p>
            <w:pPr>
              <w:pStyle w:val="Compact"/>
              <w:jc w:val="left"/>
            </w:pPr>
            <w:r>
              <w:t xml:space="preserve">0.33; 0.50</w:t>
            </w:r>
          </w:p>
        </w:tc>
        <w:tc>
          <w:p>
            <w:pPr>
              <w:pStyle w:val="Compact"/>
              <w:jc w:val="left"/>
            </w:pPr>
            <w:r>
              <w:t xml:space="preserve">Liberal</w:t>
            </w:r>
          </w:p>
        </w:tc>
      </w:tr>
      <w:tr>
        <w:tc>
          <w:p>
            <w:pPr>
              <w:pStyle w:val="Compact"/>
              <w:jc w:val="left"/>
            </w:pPr>
            <w:r>
              <w:t xml:space="preserve">5 &amp; 9</w:t>
            </w:r>
          </w:p>
        </w:tc>
        <w:tc>
          <w:p>
            <w:pPr>
              <w:pStyle w:val="Compact"/>
              <w:jc w:val="left"/>
            </w:pPr>
            <w:r>
              <w:t xml:space="preserve">1</w:t>
            </w:r>
          </w:p>
        </w:tc>
        <w:tc>
          <w:p>
            <w:pPr>
              <w:pStyle w:val="Compact"/>
              <w:jc w:val="left"/>
            </w:pPr>
            <w:r>
              <w:t xml:space="preserve">0.50</w:t>
            </w:r>
          </w:p>
        </w:tc>
        <w:tc>
          <w:p>
            <w:pPr>
              <w:pStyle w:val="Compact"/>
              <w:jc w:val="left"/>
            </w:pPr>
            <w:r>
              <w:t xml:space="preserve">Conservative</w:t>
            </w:r>
          </w:p>
        </w:tc>
      </w:tr>
      <w:tr>
        <w:tc>
          <w:p/>
        </w:tc>
        <w:tc>
          <w:p>
            <w:pPr>
              <w:pStyle w:val="Compact"/>
              <w:jc w:val="left"/>
            </w:pPr>
            <w:r>
              <w:t xml:space="preserve">−.50 0.33; 0.50</w:t>
            </w:r>
          </w:p>
        </w:tc>
        <w:tc>
          <w:p>
            <w:pPr>
              <w:pStyle w:val="Compact"/>
              <w:jc w:val="left"/>
            </w:pPr>
            <w:r>
              <w:t xml:space="preserve">Liberal</w:t>
            </w:r>
          </w:p>
        </w:tc>
        <w:tc>
          <w:p/>
        </w:tc>
      </w:tr>
      <w:tr>
        <w:tc>
          <w:p/>
        </w:tc>
        <w:tc>
          <w:p>
            <w:pPr>
              <w:pStyle w:val="Compact"/>
              <w:jc w:val="left"/>
            </w:pPr>
            <w:r>
              <w:t xml:space="preserve">−1</w:t>
            </w:r>
          </w:p>
        </w:tc>
        <w:tc>
          <w:p>
            <w:pPr>
              <w:pStyle w:val="Compact"/>
              <w:jc w:val="left"/>
            </w:pPr>
            <w:r>
              <w:t xml:space="preserve">0.16; 0.33; 0.50</w:t>
            </w:r>
          </w:p>
        </w:tc>
        <w:tc>
          <w:p>
            <w:pPr>
              <w:pStyle w:val="Compact"/>
              <w:jc w:val="left"/>
            </w:pPr>
            <w:r>
              <w:t xml:space="preserve">Liberal</w:t>
            </w:r>
          </w:p>
        </w:tc>
      </w:tr>
    </w:tbl>
    <w:p>
      <w:pPr>
        <w:pStyle w:val="Heading1"/>
      </w:pPr>
      <w:bookmarkStart w:id="76" w:name="appendix-mlr-performance-testing"/>
      <w:r>
        <w:t xml:space="preserve">Appendix: MLR Performance Testing</w:t>
      </w:r>
      <w:bookmarkEnd w:id="76"/>
    </w:p>
    <w:p>
      <w:pPr>
        <w:pStyle w:val="SourceCode"/>
      </w:pPr>
      <w:r>
        <w:rPr>
          <w:rStyle w:val="VerbatimChar"/>
        </w:rPr>
        <w:t xml:space="preserve">## [1] 0.4163608</w:t>
      </w:r>
    </w:p>
    <w:p>
      <w:pPr>
        <w:pStyle w:val="SourceCode"/>
      </w:pPr>
      <w:r>
        <w:rPr>
          <w:rStyle w:val="VerbatimChar"/>
        </w:rPr>
        <w:t xml:space="preserve">##        RMSE        X1</w:t>
      </w:r>
      <w:r>
        <w:br/>
      </w:r>
      <w:r>
        <w:rPr>
          <w:rStyle w:val="VerbatimChar"/>
        </w:rPr>
        <w:t xml:space="preserve">## 1 0.6452603 0.5367099</w:t>
      </w:r>
    </w:p>
    <w:p>
      <w:pPr>
        <w:pStyle w:val="SourceCode"/>
      </w:pPr>
      <w:r>
        <w:rPr>
          <w:rStyle w:val="VerbatimChar"/>
        </w:rPr>
        <w:t xml:space="preserve">## [1] 0.04409527</w:t>
      </w:r>
    </w:p>
    <w:p>
      <w:pPr>
        <w:pStyle w:val="SourceCode"/>
      </w:pPr>
      <w:r>
        <w:rPr>
          <w:rStyle w:val="VerbatimChar"/>
        </w:rPr>
        <w:t xml:space="preserve">## [1] 0.3913373</w:t>
      </w:r>
    </w:p>
    <w:p>
      <w:pPr>
        <w:pStyle w:val="FirstParagraph"/>
      </w:pPr>
      <w:r>
        <w:drawing>
          <wp:inline>
            <wp:extent cx="6699183" cy="2772075"/>
            <wp:effectExtent b="0" l="0" r="0" t="0"/>
            <wp:docPr descr="" title="" id="1" name="Picture"/>
            <a:graphic>
              <a:graphicData uri="http://schemas.openxmlformats.org/drawingml/2006/picture">
                <pic:pic>
                  <pic:nvPicPr>
                    <pic:cNvPr descr="index_files/figure-docx/Performance%20testing-1.png" id="0" name="Picture"/>
                    <pic:cNvPicPr>
                      <a:picLocks noChangeArrowheads="1" noChangeAspect="1"/>
                    </pic:cNvPicPr>
                  </pic:nvPicPr>
                  <pic:blipFill>
                    <a:blip r:embed="rId77"/>
                    <a:stretch>
                      <a:fillRect/>
                    </a:stretch>
                  </pic:blipFill>
                  <pic:spPr bwMode="auto">
                    <a:xfrm>
                      <a:off x="0" y="0"/>
                      <a:ext cx="6699183" cy="2772075"/>
                    </a:xfrm>
                    <a:prstGeom prst="rect">
                      <a:avLst/>
                    </a:prstGeom>
                    <a:noFill/>
                    <a:ln w="9525">
                      <a:noFill/>
                      <a:headEnd/>
                      <a:tailEnd/>
                    </a:ln>
                  </pic:spPr>
                </pic:pic>
              </a:graphicData>
            </a:graphic>
          </wp:inline>
        </w:drawing>
      </w:r>
    </w:p>
    <w:p>
      <w:pPr>
        <w:pStyle w:val="SourceCode"/>
      </w:pPr>
      <w:r>
        <w:rPr>
          <w:rStyle w:val="VerbatimChar"/>
        </w:rPr>
        <w:t xml:space="preserve">##        RMSE   Rsquare</w:t>
      </w:r>
      <w:r>
        <w:br/>
      </w:r>
      <w:r>
        <w:rPr>
          <w:rStyle w:val="VerbatimChar"/>
        </w:rPr>
        <w:t xml:space="preserve">## 1 0.6255695 0.5646131</w:t>
      </w:r>
    </w:p>
    <w:p>
      <w:pPr>
        <w:pStyle w:val="SourceCode"/>
      </w:pPr>
      <w:r>
        <w:rPr>
          <w:rStyle w:val="VerbatimChar"/>
        </w:rPr>
        <w:t xml:space="preserve">##    alpha       lambda</w:t>
      </w:r>
      <w:r>
        <w:br/>
      </w:r>
      <w:r>
        <w:rPr>
          <w:rStyle w:val="VerbatimChar"/>
        </w:rPr>
        <w:t xml:space="preserve">## 21   0.3 0.0002037315</w:t>
      </w:r>
    </w:p>
    <w:p>
      <w:pPr>
        <w:pStyle w:val="SourceCode"/>
      </w:pPr>
      <w:r>
        <w:rPr>
          <w:rStyle w:val="VerbatimChar"/>
        </w:rPr>
        <w:t xml:space="preserve">## [1] 0.3854635</w:t>
      </w:r>
    </w:p>
    <w:p>
      <w:pPr>
        <w:pStyle w:val="SourceCode"/>
      </w:pPr>
      <w:r>
        <w:rPr>
          <w:rStyle w:val="VerbatimChar"/>
        </w:rPr>
        <w:t xml:space="preserve">##        RMSE   Rsquare</w:t>
      </w:r>
      <w:r>
        <w:br/>
      </w:r>
      <w:r>
        <w:rPr>
          <w:rStyle w:val="VerbatimChar"/>
        </w:rPr>
        <w:t xml:space="preserve">## 1 0.6208571 0.5678312</w:t>
      </w:r>
    </w:p>
    <w:p>
      <w:pPr>
        <w:pStyle w:val="SourceCode"/>
      </w:pPr>
      <w:r>
        <w:rPr>
          <w:rStyle w:val="VerbatimChar"/>
        </w:rPr>
        <w:t xml:space="preserve">## [1] 1906.084</w:t>
      </w:r>
    </w:p>
    <w:sectPr w:rsidR="001B7D30" w:rsidSect="00CC2A0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222B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712F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FAAF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11312"/>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296412"/>
    <w:pPr>
      <w:keepNext/>
      <w:keepLines/>
      <w:spacing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B2D5A"/>
    <w:pPr>
      <w:keepNext/>
      <w:keepLines/>
      <w:spacing w:before="200" w:after="0"/>
      <w:jc w:val="center"/>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D55F6"/>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3D55F6"/>
    <w:pPr>
      <w:keepNext/>
      <w:keepLines/>
      <w:spacing w:after="24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0" Target="media/rId20.jpg" /><Relationship Type="http://schemas.openxmlformats.org/officeDocument/2006/relationships/image" Id="rId50" Target="media/rId50.png" /><Relationship Type="http://schemas.openxmlformats.org/officeDocument/2006/relationships/image" Id="rId60" Target="media/rId6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63" Target="media/rId6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hyperlink" Id="rId75" Target="https://link.springer.com/article/10.3758/s13428-017-0918-2?shared-article-renderer#Tab6" TargetMode="External" /></Relationships>
</file>

<file path=word/_rels/footnotes.xml.rels><?xml version="1.0" encoding="UTF-8"?>
<Relationships xmlns="http://schemas.openxmlformats.org/package/2006/relationships"><Relationship Type="http://schemas.openxmlformats.org/officeDocument/2006/relationships/hyperlink" Id="rId75" Target="https://link.springer.com/article/10.3758/s13428-017-0918-2?shared-article-renderer#Tab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dcterms:created xsi:type="dcterms:W3CDTF">2020-02-16T20:45:53Z</dcterms:created>
  <dcterms:modified xsi:type="dcterms:W3CDTF">2020-02-16T20:45:53Z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1/23/2020</vt:lpwstr>
  </property>
  <property fmtid="{D5CDD505-2E9C-101B-9397-08002B2CF9AE}" pid="4" name="editor_options">
    <vt:lpwstr/>
  </property>
  <property fmtid="{D5CDD505-2E9C-101B-9397-08002B2CF9AE}" pid="5" name="output">
    <vt:lpwstr/>
  </property>
</Properties>
</file>