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2C9D" w:rsidRDefault="00043740">
      <w:pPr>
        <w:pStyle w:val="Title"/>
      </w:pPr>
      <w:r>
        <w:t>Warren County Community Health Assessment 2017 Update</w:t>
      </w:r>
    </w:p>
    <w:p w:rsidR="00212C9D" w:rsidRDefault="00043740">
      <w:pPr>
        <w:pStyle w:val="Author"/>
      </w:pPr>
      <w:r>
        <w:t>Prepared by the Warren County Health District</w:t>
      </w:r>
    </w:p>
    <w:p w:rsidR="00212C9D" w:rsidRDefault="00043740">
      <w:pPr>
        <w:pStyle w:val="Date"/>
      </w:pPr>
      <w:r>
        <w:t>September 1, 2017</w:t>
      </w:r>
    </w:p>
    <w:p w:rsidR="00212C9D" w:rsidRDefault="00212C9D">
      <w:pPr>
        <w:pStyle w:val="FirstParagraph"/>
      </w:pPr>
    </w:p>
    <w:p w:rsidR="00212C9D" w:rsidRDefault="00043740">
      <w:pPr>
        <w:pStyle w:val="BodyText"/>
      </w:pPr>
      <w:r>
        <w:rPr>
          <w:noProof/>
        </w:rPr>
        <w:drawing>
          <wp:inline distT="0" distB="0" distL="0" distR="0">
            <wp:extent cx="5943600" cy="10209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socioeconomic_small.png"/>
                    <pic:cNvPicPr>
                      <a:picLocks noChangeAspect="1" noChangeArrowheads="1"/>
                    </pic:cNvPicPr>
                  </pic:nvPicPr>
                  <pic:blipFill>
                    <a:blip r:embed="rId8"/>
                    <a:stretch>
                      <a:fillRect/>
                    </a:stretch>
                  </pic:blipFill>
                  <pic:spPr bwMode="auto">
                    <a:xfrm>
                      <a:off x="0" y="0"/>
                      <a:ext cx="5943600" cy="1020900"/>
                    </a:xfrm>
                    <a:prstGeom prst="rect">
                      <a:avLst/>
                    </a:prstGeom>
                    <a:noFill/>
                    <a:ln w="9525">
                      <a:noFill/>
                      <a:headEnd/>
                      <a:tailEnd/>
                    </a:ln>
                  </pic:spPr>
                </pic:pic>
              </a:graphicData>
            </a:graphic>
          </wp:inline>
        </w:drawing>
      </w: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212C9D">
      <w:pPr>
        <w:pStyle w:val="BodyText"/>
      </w:pPr>
    </w:p>
    <w:p w:rsidR="00212C9D" w:rsidRDefault="00043740">
      <w:pPr>
        <w:pStyle w:val="BodyText"/>
      </w:pPr>
      <w:r>
        <w:rPr>
          <w:noProof/>
        </w:rPr>
        <w:drawing>
          <wp:inline distT="0" distB="0" distL="0" distR="0">
            <wp:extent cx="5943600" cy="139849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logo.png"/>
                    <pic:cNvPicPr>
                      <a:picLocks noChangeAspect="1" noChangeArrowheads="1"/>
                    </pic:cNvPicPr>
                  </pic:nvPicPr>
                  <pic:blipFill>
                    <a:blip r:embed="rId9"/>
                    <a:stretch>
                      <a:fillRect/>
                    </a:stretch>
                  </pic:blipFill>
                  <pic:spPr bwMode="auto">
                    <a:xfrm>
                      <a:off x="0" y="0"/>
                      <a:ext cx="5943600" cy="1398494"/>
                    </a:xfrm>
                    <a:prstGeom prst="rect">
                      <a:avLst/>
                    </a:prstGeom>
                    <a:noFill/>
                    <a:ln w="9525">
                      <a:noFill/>
                      <a:headEnd/>
                      <a:tailEnd/>
                    </a:ln>
                  </pic:spPr>
                </pic:pic>
              </a:graphicData>
            </a:graphic>
          </wp:inline>
        </w:drawing>
      </w:r>
    </w:p>
    <w:p w:rsidR="00212C9D" w:rsidRDefault="00043740">
      <w:pPr>
        <w:pStyle w:val="Heading4"/>
      </w:pPr>
      <w:bookmarkStart w:id="0" w:name="a-report-prepared-to-supplement-the-2016"/>
      <w:r>
        <w:t>A report prepared to supplement the 2016 Warren County Community Health Assessment</w:t>
      </w:r>
      <w:bookmarkEnd w:id="0"/>
    </w:p>
    <w:p w:rsidR="00212C9D" w:rsidRDefault="00212C9D">
      <w:pPr>
        <w:pStyle w:val="Heading5"/>
      </w:pPr>
      <w:bookmarkStart w:id="1" w:name="section"/>
      <w:bookmarkEnd w:id="1"/>
    </w:p>
    <w:p w:rsidR="00212C9D" w:rsidRDefault="00043740">
      <w:pPr>
        <w:pStyle w:val="Heading1"/>
      </w:pPr>
      <w:bookmarkStart w:id="2" w:name="introduction"/>
      <w:r>
        <w:t>Introduction</w:t>
      </w:r>
      <w:bookmarkEnd w:id="2"/>
    </w:p>
    <w:p w:rsidR="00212C9D" w:rsidRDefault="00043740">
      <w:pPr>
        <w:pStyle w:val="FirstParagraph"/>
      </w:pPr>
      <w:r>
        <w:t>Social Determinants of Health are the conditions that affect quality of life, health, functioning, and risks in a community. social Determinants of Health impact where people live, work, and play, even if people are not aware of their influence.</w:t>
      </w:r>
      <w:hyperlink w:anchor="ref-HP2020">
        <w:r>
          <w:rPr>
            <w:rStyle w:val="Hyperlink"/>
            <w:vertAlign w:val="superscript"/>
          </w:rPr>
          <w:t>1</w:t>
        </w:r>
      </w:hyperlink>
    </w:p>
    <w:p w:rsidR="00212C9D" w:rsidRDefault="00043740">
      <w:pPr>
        <w:pStyle w:val="BodyText"/>
      </w:pPr>
      <w:r>
        <w:t xml:space="preserve">The annual update to the </w:t>
      </w:r>
      <w:r>
        <w:rPr>
          <w:i/>
        </w:rPr>
        <w:t>Warren County Community Health Assessment 2016</w:t>
      </w:r>
      <w:r>
        <w:t xml:space="preserve"> utilizes data to describe how the environment in Warren County has changed over the last year and how areas of the county have changed in relation to one anothe</w:t>
      </w:r>
      <w:r>
        <w:t xml:space="preserve">r. This report will describe the five categories of the social determinants of health as described in Healthy People 2020. These categories are Social and Community Context, Economic Stability, Health and Health Care, Education, and Neighborhood and Built </w:t>
      </w:r>
      <w:r>
        <w:t>Environment.</w:t>
      </w:r>
    </w:p>
    <w:p w:rsidR="00212C9D" w:rsidRDefault="00043740">
      <w:pPr>
        <w:pStyle w:val="Heading2"/>
      </w:pPr>
      <w:bookmarkStart w:id="3" w:name="intracounty-comparisons"/>
      <w:r>
        <w:t>Intracounty Comparisons</w:t>
      </w:r>
      <w:bookmarkEnd w:id="3"/>
    </w:p>
    <w:p w:rsidR="00212C9D" w:rsidRDefault="00043740">
      <w:pPr>
        <w:pStyle w:val="FirstParagraph"/>
      </w:pPr>
      <w:r>
        <w:t>The social determinants of health are evaluated at the intracounty level to draw comparisons between the differing areas of Warren County. Census Tract-level data is used for mapping to see how areas compare to one anot</w:t>
      </w:r>
      <w:r>
        <w:t>her. In order to generate tables that can be understood, census tracts have been combined into a series of geographical areas that are similar to one another. The result is 7 different areas that are similar in culture and population size.</w:t>
      </w:r>
    </w:p>
    <w:p w:rsidR="00212C9D" w:rsidRDefault="00043740">
      <w:pPr>
        <w:pStyle w:val="BodyText"/>
      </w:pPr>
      <w:r>
        <w:rPr>
          <w:noProof/>
        </w:rPr>
        <w:drawing>
          <wp:inline distT="0" distB="0" distL="0" distR="0">
            <wp:extent cx="5943600" cy="44577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aps/county_areas_map.png"/>
                    <pic:cNvPicPr>
                      <a:picLocks noChangeAspect="1" noChangeArrowheads="1"/>
                    </pic:cNvPicPr>
                  </pic:nvPicPr>
                  <pic:blipFill>
                    <a:blip r:embed="rId10"/>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4" w:name="section-1"/>
      <w:bookmarkEnd w:id="4"/>
    </w:p>
    <w:p w:rsidR="00212C9D" w:rsidRDefault="00043740">
      <w:pPr>
        <w:pStyle w:val="Heading2"/>
      </w:pPr>
      <w:bookmarkStart w:id="5" w:name="methods"/>
      <w:r>
        <w:t>Methods</w:t>
      </w:r>
      <w:bookmarkEnd w:id="5"/>
    </w:p>
    <w:p w:rsidR="00212C9D" w:rsidRDefault="00043740">
      <w:pPr>
        <w:pStyle w:val="FirstParagraph"/>
      </w:pPr>
      <w:r>
        <w:t>This report is generated using a series of datasets from various public and non-public datasets. These data have been accessed in the most raw version of data that is available or the data was retrieved from a web API. This ensures that analyses that are</w:t>
      </w:r>
      <w:r>
        <w:t xml:space="preserve"> c</w:t>
      </w:r>
      <w:r>
        <w:t>onducted</w:t>
      </w:r>
      <w:r>
        <w:t xml:space="preserve"> </w:t>
      </w:r>
      <w:r>
        <w:t>are being done on the original data and are not calculations based on the calculations of others.</w:t>
      </w:r>
    </w:p>
    <w:p w:rsidR="00212C9D" w:rsidRDefault="00043740">
      <w:pPr>
        <w:pStyle w:val="BodyText"/>
      </w:pPr>
      <w:r>
        <w:t>All of the code for the generation of these reports is devleoped using the R Statistical Programming Language</w:t>
      </w:r>
      <w:hyperlink w:anchor="ref-R-Project">
        <w:r>
          <w:rPr>
            <w:rStyle w:val="Hyperlink"/>
            <w:vertAlign w:val="superscript"/>
          </w:rPr>
          <w:t>2</w:t>
        </w:r>
      </w:hyperlink>
      <w:r>
        <w:t xml:space="preserve"> an</w:t>
      </w:r>
      <w:r>
        <w:t>d the R Studio IDE</w:t>
      </w:r>
      <w:hyperlink w:anchor="ref-R-Studio">
        <w:r>
          <w:rPr>
            <w:rStyle w:val="Hyperlink"/>
            <w:vertAlign w:val="superscript"/>
          </w:rPr>
          <w:t>3</w:t>
        </w:r>
      </w:hyperlink>
      <w:r>
        <w:t xml:space="preserve">. The code used for the devleopment of this report is available on </w:t>
      </w:r>
      <w:hyperlink r:id="rId11">
        <w:r>
          <w:rPr>
            <w:rStyle w:val="Hyperlink"/>
          </w:rPr>
          <w:t>GitHub</w:t>
        </w:r>
      </w:hyperlink>
      <w:r>
        <w:t xml:space="preserve">. A copy of this report will be maintained on the Warren County </w:t>
      </w:r>
      <w:r>
        <w:t xml:space="preserve">Health District </w:t>
      </w:r>
      <w:hyperlink r:id="rId12">
        <w:r>
          <w:rPr>
            <w:rStyle w:val="Hyperlink"/>
          </w:rPr>
          <w:t>website</w:t>
        </w:r>
      </w:hyperlink>
      <w:r>
        <w:t>.</w:t>
      </w:r>
    </w:p>
    <w:p w:rsidR="00212C9D" w:rsidRDefault="00043740">
      <w:pPr>
        <w:pStyle w:val="Heading3"/>
      </w:pPr>
      <w:bookmarkStart w:id="6" w:name="data-analysis"/>
      <w:r>
        <w:t>Data Analysis</w:t>
      </w:r>
      <w:bookmarkEnd w:id="6"/>
    </w:p>
    <w:p w:rsidR="00212C9D" w:rsidRDefault="00043740">
      <w:pPr>
        <w:pStyle w:val="FirstParagraph"/>
      </w:pPr>
      <w:r>
        <w:t>The data that has been compiled is analyzed using multiple methodologies. Data is first assessed to identify what information can be found in the r</w:t>
      </w:r>
      <w:r>
        <w:t>aw information. The data then goes through the following process</w:t>
      </w:r>
      <w:hyperlink w:anchor="ref-Wickham2017">
        <w:r>
          <w:rPr>
            <w:rStyle w:val="Hyperlink"/>
            <w:vertAlign w:val="superscript"/>
          </w:rPr>
          <w:t>4</w:t>
        </w:r>
      </w:hyperlink>
      <w:r>
        <w:t xml:space="preserve"> :</w:t>
      </w:r>
    </w:p>
    <w:p w:rsidR="00212C9D" w:rsidRDefault="00043740">
      <w:pPr>
        <w:pStyle w:val="BodyText"/>
      </w:pPr>
      <w:r>
        <w:rPr>
          <w:noProof/>
        </w:rPr>
        <w:drawing>
          <wp:inline distT="0" distB="0" distL="0" distR="0">
            <wp:extent cx="4924425" cy="180975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data-science-explore.png"/>
                    <pic:cNvPicPr>
                      <a:picLocks noChangeAspect="1" noChangeArrowheads="1"/>
                    </pic:cNvPicPr>
                  </pic:nvPicPr>
                  <pic:blipFill>
                    <a:blip r:embed="rId13"/>
                    <a:stretch>
                      <a:fillRect/>
                    </a:stretch>
                  </pic:blipFill>
                  <pic:spPr bwMode="auto">
                    <a:xfrm>
                      <a:off x="0" y="0"/>
                      <a:ext cx="4924425" cy="1809750"/>
                    </a:xfrm>
                    <a:prstGeom prst="rect">
                      <a:avLst/>
                    </a:prstGeom>
                    <a:noFill/>
                    <a:ln w="9525">
                      <a:noFill/>
                      <a:headEnd/>
                      <a:tailEnd/>
                    </a:ln>
                  </pic:spPr>
                </pic:pic>
              </a:graphicData>
            </a:graphic>
          </wp:inline>
        </w:drawing>
      </w:r>
    </w:p>
    <w:p w:rsidR="00212C9D" w:rsidRDefault="00043740">
      <w:pPr>
        <w:pStyle w:val="BodyText"/>
      </w:pPr>
      <w:r>
        <w:t>Data is summarily analyzed at the inter-county and intra-county level to identify differences. These type of anal</w:t>
      </w:r>
      <w:bookmarkStart w:id="7" w:name="_GoBack"/>
      <w:bookmarkEnd w:id="7"/>
      <w:r>
        <w:t>ysis allow an exploration of the co</w:t>
      </w:r>
      <w:r>
        <w:t>unty for sub-county data and identify areas that are more likely to have health disparities.</w:t>
      </w:r>
    </w:p>
    <w:p w:rsidR="00212C9D" w:rsidRDefault="00043740">
      <w:pPr>
        <w:pStyle w:val="Heading3"/>
      </w:pPr>
      <w:bookmarkStart w:id="8" w:name="data-sets"/>
      <w:r>
        <w:t>Data Sets</w:t>
      </w:r>
      <w:bookmarkEnd w:id="8"/>
    </w:p>
    <w:p w:rsidR="00212C9D" w:rsidRDefault="00043740">
      <w:pPr>
        <w:pStyle w:val="FirstParagraph"/>
      </w:pPr>
      <w:r>
        <w:t>The following data sets have been used to develop this analysis:</w:t>
      </w:r>
    </w:p>
    <w:p w:rsidR="00212C9D" w:rsidRDefault="00043740">
      <w:pPr>
        <w:pStyle w:val="Compact"/>
        <w:numPr>
          <w:ilvl w:val="0"/>
          <w:numId w:val="5"/>
        </w:numPr>
      </w:pPr>
      <w:r>
        <w:t>2015 American Community Survey</w:t>
      </w:r>
      <w:hyperlink w:anchor="ref-ACS2015">
        <w:r>
          <w:rPr>
            <w:rStyle w:val="Hyperlink"/>
            <w:vertAlign w:val="superscript"/>
          </w:rPr>
          <w:t>5</w:t>
        </w:r>
      </w:hyperlink>
    </w:p>
    <w:p w:rsidR="00212C9D" w:rsidRDefault="00043740">
      <w:pPr>
        <w:pStyle w:val="Compact"/>
        <w:numPr>
          <w:ilvl w:val="0"/>
          <w:numId w:val="5"/>
        </w:numPr>
      </w:pPr>
      <w:r>
        <w:t>2015 Area Health Resou</w:t>
      </w:r>
      <w:r>
        <w:t>rces Files</w:t>
      </w:r>
      <w:hyperlink w:anchor="ref-AHRF2015">
        <w:r>
          <w:rPr>
            <w:rStyle w:val="Hyperlink"/>
            <w:vertAlign w:val="superscript"/>
          </w:rPr>
          <w:t>6</w:t>
        </w:r>
      </w:hyperlink>
    </w:p>
    <w:p w:rsidR="00212C9D" w:rsidRDefault="00043740">
      <w:pPr>
        <w:pStyle w:val="Compact"/>
        <w:numPr>
          <w:ilvl w:val="0"/>
          <w:numId w:val="5"/>
        </w:numPr>
      </w:pPr>
      <w:r>
        <w:t>1960 - 2015 Uniform Crime Reporting Program Data</w:t>
      </w:r>
      <w:hyperlink w:anchor="ref-UCR2015">
        <w:r>
          <w:rPr>
            <w:rStyle w:val="Hyperlink"/>
            <w:vertAlign w:val="superscript"/>
          </w:rPr>
          <w:t>7</w:t>
        </w:r>
      </w:hyperlink>
    </w:p>
    <w:p w:rsidR="00212C9D" w:rsidRDefault="00212C9D">
      <w:pPr>
        <w:pStyle w:val="Heading5"/>
      </w:pPr>
      <w:bookmarkStart w:id="9" w:name="section-2"/>
      <w:bookmarkEnd w:id="9"/>
    </w:p>
    <w:p w:rsidR="00212C9D" w:rsidRDefault="00043740">
      <w:pPr>
        <w:pStyle w:val="FirstParagraph"/>
      </w:pPr>
      <w:r>
        <w:rPr>
          <w:noProof/>
        </w:rPr>
        <w:drawing>
          <wp:inline distT="0" distB="0" distL="0" distR="0">
            <wp:extent cx="714375" cy="71437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icons/social_and_community_context.png"/>
                    <pic:cNvPicPr>
                      <a:picLocks noChangeAspect="1" noChangeArrowheads="1"/>
                    </pic:cNvPicPr>
                  </pic:nvPicPr>
                  <pic:blipFill>
                    <a:blip r:embed="rId14"/>
                    <a:stretch>
                      <a:fillRect/>
                    </a:stretch>
                  </pic:blipFill>
                  <pic:spPr bwMode="auto">
                    <a:xfrm>
                      <a:off x="0" y="0"/>
                      <a:ext cx="714375" cy="714375"/>
                    </a:xfrm>
                    <a:prstGeom prst="rect">
                      <a:avLst/>
                    </a:prstGeom>
                    <a:noFill/>
                    <a:ln w="9525">
                      <a:noFill/>
                      <a:headEnd/>
                      <a:tailEnd/>
                    </a:ln>
                  </pic:spPr>
                </pic:pic>
              </a:graphicData>
            </a:graphic>
          </wp:inline>
        </w:drawing>
      </w:r>
    </w:p>
    <w:p w:rsidR="00212C9D" w:rsidRDefault="00043740">
      <w:pPr>
        <w:pStyle w:val="Heading1"/>
      </w:pPr>
      <w:bookmarkStart w:id="10" w:name="social-and-community-context"/>
      <w:r>
        <w:t>Social and Community Context</w:t>
      </w:r>
      <w:bookmarkEnd w:id="10"/>
    </w:p>
    <w:p w:rsidR="00212C9D" w:rsidRDefault="00043740">
      <w:pPr>
        <w:pStyle w:val="FirstParagraph"/>
      </w:pPr>
      <w:r>
        <w:t>Social and community context includes the social settings in which people live and act. It includes social relationships and the social, religious, cultural, and occupational institutions with which they interact. An important aspect of an individual’s soc</w:t>
      </w:r>
      <w:r>
        <w:t>ial context is the sense of cohesion and interpersonal trust among community members and an individual’s sense that they belong and are supported in their community. Social cohesion is strongly influenced by racial discrimination and inequality.</w:t>
      </w:r>
      <w:hyperlink w:anchor="ref-HP2020">
        <w:r>
          <w:rPr>
            <w:rStyle w:val="Hyperlink"/>
            <w:vertAlign w:val="superscript"/>
          </w:rPr>
          <w:t>1</w:t>
        </w:r>
      </w:hyperlink>
    </w:p>
    <w:p w:rsidR="00212C9D" w:rsidRDefault="00043740">
      <w:pPr>
        <w:pStyle w:val="Heading2"/>
      </w:pPr>
      <w:bookmarkStart w:id="11" w:name="population"/>
      <w:r>
        <w:t>Population</w:t>
      </w:r>
      <w:bookmarkEnd w:id="11"/>
    </w:p>
    <w:p w:rsidR="00212C9D" w:rsidRDefault="00043740">
      <w:pPr>
        <w:pStyle w:val="FirstParagraph"/>
      </w:pPr>
      <w:r>
        <w:t>Understanding the populations of the different areas of the county allows one to understand where populations are distributed throughout the county. These data provide context for the locations where the population reside</w:t>
      </w:r>
      <w:r>
        <w:t>s in the county.</w:t>
      </w:r>
    </w:p>
    <w:p w:rsidR="00212C9D" w:rsidRDefault="00043740">
      <w:pPr>
        <w:pStyle w:val="Heading3"/>
      </w:pPr>
      <w:bookmarkStart w:id="12" w:name="map"/>
      <w:r>
        <w:t>Map</w:t>
      </w:r>
      <w:bookmarkEnd w:id="12"/>
    </w:p>
    <w:p w:rsidR="00212C9D" w:rsidRDefault="00043740">
      <w:pPr>
        <w:pStyle w:val="FirstParagraph"/>
      </w:pPr>
      <w:r>
        <w:rPr>
          <w:noProof/>
        </w:rPr>
        <w:drawing>
          <wp:inline distT="0" distB="0" distL="0" distR="0">
            <wp:extent cx="5943600" cy="44577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population_map.png"/>
                    <pic:cNvPicPr>
                      <a:picLocks noChangeAspect="1" noChangeArrowheads="1"/>
                    </pic:cNvPicPr>
                  </pic:nvPicPr>
                  <pic:blipFill>
                    <a:blip r:embed="rId15"/>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13" w:name="section-3"/>
      <w:bookmarkEnd w:id="13"/>
    </w:p>
    <w:p w:rsidR="00212C9D" w:rsidRDefault="00043740">
      <w:pPr>
        <w:pStyle w:val="Heading3"/>
      </w:pPr>
      <w:bookmarkStart w:id="14" w:name="chart"/>
      <w:r>
        <w:t>Chart</w:t>
      </w:r>
      <w:bookmarkEnd w:id="14"/>
    </w:p>
    <w:p w:rsidR="00212C9D" w:rsidRDefault="00043740">
      <w:pPr>
        <w:pStyle w:val="FirstParagraph"/>
      </w:pPr>
      <w:r>
        <w:rPr>
          <w:noProof/>
        </w:rPr>
        <w:drawing>
          <wp:inline distT="0" distB="0" distL="0" distR="0">
            <wp:extent cx="5544151" cy="4158113"/>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unnamed-chunk-1-1.png"/>
                    <pic:cNvPicPr>
                      <a:picLocks noChangeAspect="1" noChangeArrowheads="1"/>
                    </pic:cNvPicPr>
                  </pic:nvPicPr>
                  <pic:blipFill>
                    <a:blip r:embed="rId16"/>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15" w:name="table"/>
      <w:r>
        <w:t>Table</w:t>
      </w:r>
      <w:bookmarkEnd w:id="15"/>
    </w:p>
    <w:tbl>
      <w:tblPr>
        <w:tblW w:w="0" w:type="auto"/>
        <w:jc w:val="center"/>
        <w:tblLayout w:type="fixed"/>
        <w:tblLook w:val="04A0" w:firstRow="1" w:lastRow="0" w:firstColumn="1" w:lastColumn="0" w:noHBand="0" w:noVBand="1"/>
      </w:tblPr>
      <w:tblGrid>
        <w:gridCol w:w="2880"/>
        <w:gridCol w:w="1284"/>
        <w:gridCol w:w="1329"/>
      </w:tblGrid>
      <w:tr w:rsidR="00212C9D">
        <w:trPr>
          <w:cantSplit/>
          <w:trHeight w:val="438"/>
          <w:tblHeader/>
          <w:jc w:val="center"/>
        </w:trPr>
        <w:tc>
          <w:tcPr>
            <w:tcW w:w="5493" w:type="dxa"/>
            <w:gridSpan w:val="3"/>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1.1 Population  in Warren County, OH in 2016 by County Area</w:t>
            </w:r>
          </w:p>
        </w:tc>
      </w:tr>
      <w:tr w:rsidR="00212C9D">
        <w:trPr>
          <w:cantSplit/>
          <w:trHeight w:val="436"/>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Population</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Percentage</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34694</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15.6</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22288</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10.0</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32321</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14.5</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32401</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14.6</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35961</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16.2</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33800</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15.2</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30719</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13.8</w:t>
            </w:r>
          </w:p>
        </w:tc>
      </w:tr>
    </w:tbl>
    <w:p w:rsidR="00212C9D" w:rsidRDefault="00212C9D">
      <w:pPr>
        <w:pStyle w:val="Heading5"/>
      </w:pPr>
      <w:bookmarkStart w:id="16" w:name="section-4"/>
      <w:bookmarkEnd w:id="16"/>
    </w:p>
    <w:p w:rsidR="00212C9D" w:rsidRDefault="00043740">
      <w:pPr>
        <w:pStyle w:val="Heading2"/>
      </w:pPr>
      <w:bookmarkStart w:id="17" w:name="race-and-ethnicity"/>
      <w:r>
        <w:t>Race and Ethnicity</w:t>
      </w:r>
      <w:bookmarkEnd w:id="17"/>
    </w:p>
    <w:p w:rsidR="00212C9D" w:rsidRDefault="00043740">
      <w:pPr>
        <w:pStyle w:val="FirstParagraph"/>
      </w:pPr>
      <w:r>
        <w:t>Some racial and ethnic minority populations experience health disparities and problems at disproportionately higher rates than majority populations. Understanding the geographical and proportional distribution of minority populations allows services and pr</w:t>
      </w:r>
      <w:r>
        <w:t>ograms to be targeted in a manner that is culturally and linguistically appropriate.</w:t>
      </w:r>
    </w:p>
    <w:p w:rsidR="00212C9D" w:rsidRDefault="00043740">
      <w:pPr>
        <w:pStyle w:val="Heading3"/>
      </w:pPr>
      <w:bookmarkStart w:id="18" w:name="map-1"/>
      <w:r>
        <w:t>Map</w:t>
      </w:r>
      <w:bookmarkEnd w:id="18"/>
    </w:p>
    <w:p w:rsidR="00212C9D" w:rsidRDefault="00043740">
      <w:pPr>
        <w:pStyle w:val="FirstParagraph"/>
      </w:pPr>
      <w:r>
        <w:rPr>
          <w:noProof/>
        </w:rPr>
        <w:drawing>
          <wp:inline distT="0" distB="0" distL="0" distR="0">
            <wp:extent cx="5943600" cy="39624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race_map.png"/>
                    <pic:cNvPicPr>
                      <a:picLocks noChangeAspect="1" noChangeArrowheads="1"/>
                    </pic:cNvPicPr>
                  </pic:nvPicPr>
                  <pic:blipFill>
                    <a:blip r:embed="rId17"/>
                    <a:stretch>
                      <a:fillRect/>
                    </a:stretch>
                  </pic:blipFill>
                  <pic:spPr bwMode="auto">
                    <a:xfrm>
                      <a:off x="0" y="0"/>
                      <a:ext cx="5943600" cy="3962400"/>
                    </a:xfrm>
                    <a:prstGeom prst="rect">
                      <a:avLst/>
                    </a:prstGeom>
                    <a:noFill/>
                    <a:ln w="9525">
                      <a:noFill/>
                      <a:headEnd/>
                      <a:tailEnd/>
                    </a:ln>
                  </pic:spPr>
                </pic:pic>
              </a:graphicData>
            </a:graphic>
          </wp:inline>
        </w:drawing>
      </w:r>
    </w:p>
    <w:p w:rsidR="00212C9D" w:rsidRDefault="00212C9D">
      <w:pPr>
        <w:pStyle w:val="Heading5"/>
      </w:pPr>
      <w:bookmarkStart w:id="19" w:name="section-5"/>
      <w:bookmarkEnd w:id="19"/>
    </w:p>
    <w:p w:rsidR="00212C9D" w:rsidRDefault="00043740">
      <w:pPr>
        <w:pStyle w:val="Heading3"/>
      </w:pPr>
      <w:bookmarkStart w:id="20" w:name="table-1"/>
      <w:r>
        <w:t>Table</w:t>
      </w:r>
      <w:bookmarkEnd w:id="20"/>
    </w:p>
    <w:tbl>
      <w:tblPr>
        <w:tblW w:w="0" w:type="auto"/>
        <w:jc w:val="center"/>
        <w:tblLayout w:type="fixed"/>
        <w:tblLook w:val="04A0" w:firstRow="1" w:lastRow="0" w:firstColumn="1" w:lastColumn="0" w:noHBand="0" w:noVBand="1"/>
      </w:tblPr>
      <w:tblGrid>
        <w:gridCol w:w="5760"/>
        <w:gridCol w:w="918"/>
        <w:gridCol w:w="1329"/>
      </w:tblGrid>
      <w:tr w:rsidR="00212C9D">
        <w:trPr>
          <w:cantSplit/>
          <w:trHeight w:val="438"/>
          <w:tblHeader/>
          <w:jc w:val="center"/>
        </w:trPr>
        <w:tc>
          <w:tcPr>
            <w:tcW w:w="8007" w:type="dxa"/>
            <w:gridSpan w:val="3"/>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1.2 Population by Race in Warren County, OH in 2016 by County Area</w:t>
            </w:r>
          </w:p>
        </w:tc>
      </w:tr>
      <w:tr w:rsidR="00212C9D">
        <w:trPr>
          <w:cantSplit/>
          <w:trHeight w:val="436"/>
          <w:tblHeader/>
          <w:jc w:val="center"/>
        </w:trPr>
        <w:tc>
          <w:tcPr>
            <w:tcW w:w="576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Race</w:t>
            </w:r>
          </w:p>
        </w:tc>
        <w:tc>
          <w:tcPr>
            <w:tcW w:w="918"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Count</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Percentage</w:t>
            </w:r>
          </w:p>
        </w:tc>
      </w:tr>
      <w:tr w:rsidR="00212C9D">
        <w:trPr>
          <w:cantSplit/>
          <w:trHeight w:val="436"/>
          <w:jc w:val="center"/>
        </w:trPr>
        <w:tc>
          <w:tcPr>
            <w:tcW w:w="576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Hispanic, Any Race</w:t>
            </w:r>
          </w:p>
        </w:tc>
        <w:tc>
          <w:tcPr>
            <w:tcW w:w="91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5630</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2.57</w:t>
            </w:r>
          </w:p>
        </w:tc>
      </w:tr>
      <w:tr w:rsidR="00212C9D">
        <w:trPr>
          <w:cantSplit/>
          <w:trHeight w:val="436"/>
          <w:jc w:val="center"/>
        </w:trPr>
        <w:tc>
          <w:tcPr>
            <w:tcW w:w="576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American Indian &amp; Alaskan Native</w:t>
            </w:r>
          </w:p>
        </w:tc>
        <w:tc>
          <w:tcPr>
            <w:tcW w:w="91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119</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0.05</w:t>
            </w:r>
          </w:p>
        </w:tc>
      </w:tr>
      <w:tr w:rsidR="00212C9D">
        <w:trPr>
          <w:cantSplit/>
          <w:trHeight w:val="433"/>
          <w:jc w:val="center"/>
        </w:trPr>
        <w:tc>
          <w:tcPr>
            <w:tcW w:w="576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Asian</w:t>
            </w:r>
          </w:p>
        </w:tc>
        <w:tc>
          <w:tcPr>
            <w:tcW w:w="91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10607</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4.84</w:t>
            </w:r>
          </w:p>
        </w:tc>
      </w:tr>
      <w:tr w:rsidR="00212C9D">
        <w:trPr>
          <w:cantSplit/>
          <w:trHeight w:val="436"/>
          <w:jc w:val="center"/>
        </w:trPr>
        <w:tc>
          <w:tcPr>
            <w:tcW w:w="576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Black or African American</w:t>
            </w:r>
          </w:p>
        </w:tc>
        <w:tc>
          <w:tcPr>
            <w:tcW w:w="91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7514</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3.43</w:t>
            </w:r>
          </w:p>
        </w:tc>
      </w:tr>
      <w:tr w:rsidR="00212C9D">
        <w:trPr>
          <w:cantSplit/>
          <w:trHeight w:val="436"/>
          <w:jc w:val="center"/>
        </w:trPr>
        <w:tc>
          <w:tcPr>
            <w:tcW w:w="576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Multiple or Other Race</w:t>
            </w:r>
          </w:p>
        </w:tc>
        <w:tc>
          <w:tcPr>
            <w:tcW w:w="91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734</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0.34</w:t>
            </w:r>
          </w:p>
        </w:tc>
      </w:tr>
      <w:tr w:rsidR="00212C9D">
        <w:trPr>
          <w:cantSplit/>
          <w:trHeight w:val="436"/>
          <w:jc w:val="center"/>
        </w:trPr>
        <w:tc>
          <w:tcPr>
            <w:tcW w:w="576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Native Hawaiian or Pacific Islander</w:t>
            </w:r>
          </w:p>
        </w:tc>
        <w:tc>
          <w:tcPr>
            <w:tcW w:w="91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43</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0.02</w:t>
            </w:r>
          </w:p>
        </w:tc>
      </w:tr>
      <w:tr w:rsidR="00212C9D">
        <w:trPr>
          <w:cantSplit/>
          <w:trHeight w:val="433"/>
          <w:jc w:val="center"/>
        </w:trPr>
        <w:tc>
          <w:tcPr>
            <w:tcW w:w="576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Non-Hispanic, White</w:t>
            </w:r>
          </w:p>
        </w:tc>
        <w:tc>
          <w:tcPr>
            <w:tcW w:w="91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194312</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88.74</w:t>
            </w:r>
          </w:p>
        </w:tc>
      </w:tr>
    </w:tbl>
    <w:p w:rsidR="00212C9D" w:rsidRDefault="00212C9D">
      <w:pPr>
        <w:pStyle w:val="Heading5"/>
      </w:pPr>
      <w:bookmarkStart w:id="21" w:name="section-6"/>
      <w:bookmarkEnd w:id="21"/>
    </w:p>
    <w:p w:rsidR="00212C9D" w:rsidRDefault="00043740">
      <w:pPr>
        <w:pStyle w:val="Heading2"/>
      </w:pPr>
      <w:bookmarkStart w:id="22" w:name="gini-coefficient-of-income-inequality"/>
      <w:r>
        <w:t>Gini Coefficient of Income Inequality</w:t>
      </w:r>
      <w:bookmarkEnd w:id="22"/>
    </w:p>
    <w:p w:rsidR="00212C9D" w:rsidRDefault="00043740">
      <w:pPr>
        <w:pStyle w:val="FirstParagraph"/>
      </w:pPr>
      <w:r>
        <w:t>The Gini coefficient is a measure of statistical dispecrsion that can be used to represent the wealth distribution of a population. Most commonly this measurement is used to identify areas of inequality. A Gini coefficient of 1 is complete income inequalit</w:t>
      </w:r>
      <w:r>
        <w:t>y, where one person has all of the income and everyone else has none. A Gini coefficient of 0 is complete equaltiy where everyone has the same income.</w:t>
      </w:r>
    </w:p>
    <w:p w:rsidR="00212C9D" w:rsidRDefault="00043740">
      <w:pPr>
        <w:pStyle w:val="Heading3"/>
      </w:pPr>
      <w:bookmarkStart w:id="23" w:name="map-2"/>
      <w:r>
        <w:t>Map</w:t>
      </w:r>
      <w:bookmarkEnd w:id="23"/>
    </w:p>
    <w:p w:rsidR="00212C9D" w:rsidRDefault="00043740">
      <w:pPr>
        <w:pStyle w:val="FirstParagraph"/>
      </w:pPr>
      <w:r>
        <w:rPr>
          <w:noProof/>
        </w:rPr>
        <w:drawing>
          <wp:inline distT="0" distB="0" distL="0" distR="0">
            <wp:extent cx="5943600" cy="44577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gini_map.png"/>
                    <pic:cNvPicPr>
                      <a:picLocks noChangeAspect="1" noChangeArrowheads="1"/>
                    </pic:cNvPicPr>
                  </pic:nvPicPr>
                  <pic:blipFill>
                    <a:blip r:embed="rId18"/>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24" w:name="section-7"/>
      <w:bookmarkEnd w:id="24"/>
    </w:p>
    <w:p w:rsidR="00212C9D" w:rsidRDefault="00043740">
      <w:pPr>
        <w:pStyle w:val="Heading3"/>
      </w:pPr>
      <w:bookmarkStart w:id="25" w:name="chart-1"/>
      <w:r>
        <w:t>Chart</w:t>
      </w:r>
      <w:bookmarkEnd w:id="25"/>
    </w:p>
    <w:p w:rsidR="00212C9D" w:rsidRDefault="00043740">
      <w:pPr>
        <w:pStyle w:val="FirstParagraph"/>
      </w:pPr>
      <w:r>
        <w:rPr>
          <w:noProof/>
        </w:rPr>
        <w:drawing>
          <wp:inline distT="0" distB="0" distL="0" distR="0">
            <wp:extent cx="5544151" cy="4158113"/>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gini%20chart-1.png"/>
                    <pic:cNvPicPr>
                      <a:picLocks noChangeAspect="1" noChangeArrowheads="1"/>
                    </pic:cNvPicPr>
                  </pic:nvPicPr>
                  <pic:blipFill>
                    <a:blip r:embed="rId19"/>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26" w:name="table-2"/>
      <w:r>
        <w:t>Table</w:t>
      </w:r>
      <w:bookmarkEnd w:id="26"/>
    </w:p>
    <w:tbl>
      <w:tblPr>
        <w:tblW w:w="0" w:type="auto"/>
        <w:jc w:val="center"/>
        <w:tblLayout w:type="fixed"/>
        <w:tblLook w:val="04A0" w:firstRow="1" w:lastRow="0" w:firstColumn="1" w:lastColumn="0" w:noHBand="0" w:noVBand="1"/>
      </w:tblPr>
      <w:tblGrid>
        <w:gridCol w:w="4320"/>
        <w:gridCol w:w="1284"/>
      </w:tblGrid>
      <w:tr w:rsidR="00212C9D">
        <w:trPr>
          <w:cantSplit/>
          <w:trHeight w:val="438"/>
          <w:tblHeader/>
          <w:jc w:val="center"/>
        </w:trPr>
        <w:tc>
          <w:tcPr>
            <w:tcW w:w="5604" w:type="dxa"/>
            <w:gridSpan w:val="2"/>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 xml:space="preserve">Table 1.3 Gini Coefficeint of Income Inequality by County Area Warren County, OH in </w:t>
            </w:r>
            <w:r>
              <w:rPr>
                <w:rFonts w:cs="Arial"/>
                <w:b/>
                <w:color w:val="000000"/>
                <w:sz w:val="20"/>
              </w:rPr>
              <w:t>2015 by County Area</w:t>
            </w:r>
          </w:p>
        </w:tc>
      </w:tr>
      <w:tr w:rsidR="00212C9D">
        <w:trPr>
          <w:cantSplit/>
          <w:trHeight w:val="399"/>
          <w:tblHeader/>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Coefficient</w:t>
            </w:r>
          </w:p>
        </w:tc>
      </w:tr>
      <w:tr w:rsidR="00212C9D">
        <w:trPr>
          <w:cantSplit/>
          <w:trHeight w:val="438"/>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0.380</w:t>
            </w:r>
          </w:p>
        </w:tc>
      </w:tr>
      <w:tr w:rsidR="00212C9D">
        <w:trPr>
          <w:cantSplit/>
          <w:trHeight w:val="397"/>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0.420</w:t>
            </w:r>
          </w:p>
        </w:tc>
      </w:tr>
      <w:tr w:rsidR="00212C9D">
        <w:trPr>
          <w:cantSplit/>
          <w:trHeight w:val="399"/>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0.370</w:t>
            </w:r>
          </w:p>
        </w:tc>
      </w:tr>
      <w:tr w:rsidR="00212C9D">
        <w:trPr>
          <w:cantSplit/>
          <w:trHeight w:val="433"/>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0.420</w:t>
            </w:r>
          </w:p>
        </w:tc>
      </w:tr>
      <w:tr w:rsidR="00212C9D">
        <w:trPr>
          <w:cantSplit/>
          <w:trHeight w:val="397"/>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0.380</w:t>
            </w:r>
          </w:p>
        </w:tc>
      </w:tr>
      <w:tr w:rsidR="00212C9D">
        <w:trPr>
          <w:cantSplit/>
          <w:trHeight w:val="397"/>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0.400</w:t>
            </w:r>
          </w:p>
        </w:tc>
      </w:tr>
      <w:tr w:rsidR="00212C9D">
        <w:trPr>
          <w:cantSplit/>
          <w:trHeight w:val="438"/>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0.340</w:t>
            </w:r>
          </w:p>
        </w:tc>
      </w:tr>
    </w:tbl>
    <w:p w:rsidR="00212C9D" w:rsidRDefault="00212C9D">
      <w:pPr>
        <w:pStyle w:val="Heading5"/>
      </w:pPr>
      <w:bookmarkStart w:id="27" w:name="section-8"/>
      <w:bookmarkEnd w:id="27"/>
    </w:p>
    <w:p w:rsidR="00212C9D" w:rsidRDefault="00043740">
      <w:pPr>
        <w:pStyle w:val="FirstParagraph"/>
      </w:pPr>
      <w:r>
        <w:rPr>
          <w:noProof/>
        </w:rPr>
        <w:drawing>
          <wp:inline distT="0" distB="0" distL="0" distR="0">
            <wp:extent cx="714375" cy="7143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icons/economic_stability.png"/>
                    <pic:cNvPicPr>
                      <a:picLocks noChangeAspect="1" noChangeArrowheads="1"/>
                    </pic:cNvPicPr>
                  </pic:nvPicPr>
                  <pic:blipFill>
                    <a:blip r:embed="rId20"/>
                    <a:stretch>
                      <a:fillRect/>
                    </a:stretch>
                  </pic:blipFill>
                  <pic:spPr bwMode="auto">
                    <a:xfrm>
                      <a:off x="0" y="0"/>
                      <a:ext cx="714375" cy="714375"/>
                    </a:xfrm>
                    <a:prstGeom prst="rect">
                      <a:avLst/>
                    </a:prstGeom>
                    <a:noFill/>
                    <a:ln w="9525">
                      <a:noFill/>
                      <a:headEnd/>
                      <a:tailEnd/>
                    </a:ln>
                  </pic:spPr>
                </pic:pic>
              </a:graphicData>
            </a:graphic>
          </wp:inline>
        </w:drawing>
      </w:r>
    </w:p>
    <w:p w:rsidR="00212C9D" w:rsidRDefault="00043740">
      <w:pPr>
        <w:pStyle w:val="Heading1"/>
      </w:pPr>
      <w:bookmarkStart w:id="28" w:name="economic-stability"/>
      <w:r>
        <w:t>Economic Stability</w:t>
      </w:r>
      <w:bookmarkEnd w:id="28"/>
    </w:p>
    <w:p w:rsidR="00212C9D" w:rsidRDefault="00043740">
      <w:pPr>
        <w:pStyle w:val="FirstParagraph"/>
      </w:pPr>
      <w:r>
        <w:t>Economic stability is the state or condition of having adequate money, goods, and means of support. Economic stability includes measures such as poverty, employment status, food security and housing stability.</w:t>
      </w:r>
      <w:hyperlink w:anchor="ref-HP2020">
        <w:r>
          <w:rPr>
            <w:rStyle w:val="Hyperlink"/>
            <w:vertAlign w:val="superscript"/>
          </w:rPr>
          <w:t>1</w:t>
        </w:r>
      </w:hyperlink>
    </w:p>
    <w:p w:rsidR="00212C9D" w:rsidRDefault="00043740">
      <w:pPr>
        <w:pStyle w:val="Heading2"/>
      </w:pPr>
      <w:bookmarkStart w:id="29" w:name="median-income"/>
      <w:r>
        <w:t>Median Income</w:t>
      </w:r>
      <w:bookmarkEnd w:id="29"/>
    </w:p>
    <w:p w:rsidR="00212C9D" w:rsidRDefault="00043740">
      <w:pPr>
        <w:pStyle w:val="FirstParagraph"/>
      </w:pPr>
      <w:r>
        <w:t>Median income is the amount that divides the income distribution into equal amounts. Half of all incomes are below the median, and half are above the median. Median family income is the income of the householder and all other individua</w:t>
      </w:r>
      <w:r>
        <w:t>ls older than 15 who are related to the householder. Median family income is usually higher than median household income because many households consist of only one person. Median family income is an indicator of the general socioeconomic status of a commu</w:t>
      </w:r>
      <w:r>
        <w:t>nity.</w:t>
      </w:r>
    </w:p>
    <w:p w:rsidR="00212C9D" w:rsidRDefault="00043740">
      <w:pPr>
        <w:pStyle w:val="Heading3"/>
      </w:pPr>
      <w:bookmarkStart w:id="30" w:name="map-3"/>
      <w:r>
        <w:t>Map</w:t>
      </w:r>
      <w:bookmarkEnd w:id="30"/>
    </w:p>
    <w:p w:rsidR="00212C9D" w:rsidRDefault="00043740">
      <w:pPr>
        <w:pStyle w:val="FirstParagraph"/>
      </w:pPr>
      <w:r>
        <w:rPr>
          <w:noProof/>
        </w:rPr>
        <w:drawing>
          <wp:inline distT="0" distB="0" distL="0" distR="0">
            <wp:extent cx="5943600" cy="44577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income_map.png"/>
                    <pic:cNvPicPr>
                      <a:picLocks noChangeAspect="1" noChangeArrowheads="1"/>
                    </pic:cNvPicPr>
                  </pic:nvPicPr>
                  <pic:blipFill>
                    <a:blip r:embed="rId21"/>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31" w:name="section-9"/>
      <w:bookmarkEnd w:id="31"/>
    </w:p>
    <w:p w:rsidR="00212C9D" w:rsidRDefault="00043740">
      <w:pPr>
        <w:pStyle w:val="Heading3"/>
      </w:pPr>
      <w:bookmarkStart w:id="32" w:name="chart-2"/>
      <w:r>
        <w:t>Chart</w:t>
      </w:r>
      <w:bookmarkEnd w:id="32"/>
    </w:p>
    <w:p w:rsidR="00212C9D" w:rsidRDefault="00043740">
      <w:pPr>
        <w:pStyle w:val="FirstParagraph"/>
      </w:pPr>
      <w:r>
        <w:rPr>
          <w:noProof/>
        </w:rPr>
        <w:drawing>
          <wp:inline distT="0" distB="0" distL="0" distR="0">
            <wp:extent cx="5544151" cy="4158113"/>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income%20chart-1.png"/>
                    <pic:cNvPicPr>
                      <a:picLocks noChangeAspect="1" noChangeArrowheads="1"/>
                    </pic:cNvPicPr>
                  </pic:nvPicPr>
                  <pic:blipFill>
                    <a:blip r:embed="rId22"/>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33" w:name="table-3"/>
      <w:r>
        <w:t>Table</w:t>
      </w:r>
      <w:bookmarkEnd w:id="33"/>
    </w:p>
    <w:tbl>
      <w:tblPr>
        <w:tblW w:w="0" w:type="auto"/>
        <w:jc w:val="center"/>
        <w:tblLayout w:type="fixed"/>
        <w:tblLook w:val="04A0" w:firstRow="1" w:lastRow="0" w:firstColumn="1" w:lastColumn="0" w:noHBand="0" w:noVBand="1"/>
      </w:tblPr>
      <w:tblGrid>
        <w:gridCol w:w="2880"/>
        <w:gridCol w:w="951"/>
      </w:tblGrid>
      <w:tr w:rsidR="00212C9D">
        <w:trPr>
          <w:cantSplit/>
          <w:trHeight w:val="438"/>
          <w:tblHeader/>
          <w:jc w:val="center"/>
        </w:trPr>
        <w:tc>
          <w:tcPr>
            <w:tcW w:w="3831" w:type="dxa"/>
            <w:gridSpan w:val="2"/>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2.1 Population  in Warren County, OH in 2016 by County Area</w:t>
            </w:r>
          </w:p>
        </w:tc>
      </w:tr>
      <w:tr w:rsidR="00212C9D">
        <w:trPr>
          <w:cantSplit/>
          <w:trHeight w:val="396"/>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951"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Income</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951"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83250</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951"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69045</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951"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52167</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951"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88130</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951"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66639</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951"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91131</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951"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98945</w:t>
            </w:r>
          </w:p>
        </w:tc>
      </w:tr>
    </w:tbl>
    <w:p w:rsidR="00212C9D" w:rsidRDefault="00212C9D">
      <w:pPr>
        <w:pStyle w:val="Heading5"/>
      </w:pPr>
      <w:bookmarkStart w:id="34" w:name="section-10"/>
      <w:bookmarkEnd w:id="34"/>
    </w:p>
    <w:p w:rsidR="00212C9D" w:rsidRDefault="00043740">
      <w:pPr>
        <w:pStyle w:val="Heading2"/>
      </w:pPr>
      <w:bookmarkStart w:id="35" w:name="poverty"/>
      <w:r>
        <w:t>Poverty</w:t>
      </w:r>
      <w:bookmarkEnd w:id="35"/>
    </w:p>
    <w:p w:rsidR="00212C9D" w:rsidRDefault="00043740">
      <w:pPr>
        <w:pStyle w:val="FirstParagraph"/>
      </w:pPr>
      <w:r>
        <w:t>Poverty has a close association with health. Individuals with low incomes are more likely to have limitations with routine activities due to chronic illness, are more likely to be obese, and have elevated blood lead levels. The income to poverty ratio is t</w:t>
      </w:r>
      <w:r>
        <w:t xml:space="preserve">he proportion of people andfamilies whose incomes fall below a poverty threshold, adjusted for family size. If income is half of the threshold, the family is at 50% poverty. Poverty is one of the social determinants of healthand interacts with health in a </w:t>
      </w:r>
      <w:r>
        <w:t>number of ways. A community’s income to poverty ratio is one way to assess its overall level of health.</w:t>
      </w:r>
    </w:p>
    <w:p w:rsidR="00212C9D" w:rsidRDefault="00043740">
      <w:pPr>
        <w:pStyle w:val="Heading3"/>
      </w:pPr>
      <w:bookmarkStart w:id="36" w:name="map-4"/>
      <w:r>
        <w:t>Map</w:t>
      </w:r>
      <w:bookmarkEnd w:id="36"/>
    </w:p>
    <w:p w:rsidR="00212C9D" w:rsidRDefault="00043740">
      <w:pPr>
        <w:pStyle w:val="FirstParagraph"/>
      </w:pPr>
      <w:r>
        <w:rPr>
          <w:noProof/>
        </w:rPr>
        <w:drawing>
          <wp:inline distT="0" distB="0" distL="0" distR="0">
            <wp:extent cx="5943600" cy="44577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poverty_map.png"/>
                    <pic:cNvPicPr>
                      <a:picLocks noChangeAspect="1" noChangeArrowheads="1"/>
                    </pic:cNvPicPr>
                  </pic:nvPicPr>
                  <pic:blipFill>
                    <a:blip r:embed="rId23"/>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37" w:name="section-11"/>
      <w:bookmarkEnd w:id="37"/>
    </w:p>
    <w:p w:rsidR="00212C9D" w:rsidRDefault="00043740">
      <w:pPr>
        <w:pStyle w:val="Heading3"/>
      </w:pPr>
      <w:bookmarkStart w:id="38" w:name="chart-3"/>
      <w:r>
        <w:t>Chart</w:t>
      </w:r>
      <w:bookmarkEnd w:id="38"/>
    </w:p>
    <w:p w:rsidR="00212C9D" w:rsidRDefault="00043740">
      <w:pPr>
        <w:pStyle w:val="FirstParagraph"/>
      </w:pPr>
      <w:r>
        <w:rPr>
          <w:noProof/>
        </w:rPr>
        <w:drawing>
          <wp:inline distT="0" distB="0" distL="0" distR="0">
            <wp:extent cx="5544151" cy="415811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poverty%20chart-1.png"/>
                    <pic:cNvPicPr>
                      <a:picLocks noChangeAspect="1" noChangeArrowheads="1"/>
                    </pic:cNvPicPr>
                  </pic:nvPicPr>
                  <pic:blipFill>
                    <a:blip r:embed="rId24"/>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39" w:name="table-4"/>
      <w:r>
        <w:t>Table</w:t>
      </w:r>
      <w:bookmarkEnd w:id="39"/>
    </w:p>
    <w:tbl>
      <w:tblPr>
        <w:tblW w:w="0" w:type="auto"/>
        <w:jc w:val="center"/>
        <w:tblLayout w:type="fixed"/>
        <w:tblLook w:val="04A0" w:firstRow="1" w:lastRow="0" w:firstColumn="1" w:lastColumn="0" w:noHBand="0" w:noVBand="1"/>
      </w:tblPr>
      <w:tblGrid>
        <w:gridCol w:w="2880"/>
        <w:gridCol w:w="828"/>
        <w:gridCol w:w="1284"/>
        <w:gridCol w:w="1329"/>
      </w:tblGrid>
      <w:tr w:rsidR="00212C9D">
        <w:trPr>
          <w:cantSplit/>
          <w:trHeight w:val="438"/>
          <w:tblHeader/>
          <w:jc w:val="center"/>
        </w:trPr>
        <w:tc>
          <w:tcPr>
            <w:tcW w:w="6321" w:type="dxa"/>
            <w:gridSpan w:val="4"/>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2.2 Poverty by County Area in Warren County, OH in 2016 by County Area</w:t>
            </w:r>
          </w:p>
        </w:tc>
      </w:tr>
      <w:tr w:rsidR="00212C9D">
        <w:trPr>
          <w:cantSplit/>
          <w:trHeight w:val="436"/>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Count</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Population</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Percentage</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903</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34630</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2.61</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1421</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22140</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6.42</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3605</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32123</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11.22</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1654</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32299</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5.12</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2438</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30412</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8.02</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809</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33660</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2.40</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751</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30468</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2.46</w:t>
            </w:r>
          </w:p>
        </w:tc>
      </w:tr>
    </w:tbl>
    <w:p w:rsidR="00212C9D" w:rsidRDefault="00212C9D">
      <w:pPr>
        <w:pStyle w:val="Heading5"/>
      </w:pPr>
      <w:bookmarkStart w:id="40" w:name="section-12"/>
      <w:bookmarkEnd w:id="40"/>
    </w:p>
    <w:p w:rsidR="00212C9D" w:rsidRDefault="00043740">
      <w:pPr>
        <w:pStyle w:val="FirstParagraph"/>
      </w:pPr>
      <w:r>
        <w:rPr>
          <w:noProof/>
        </w:rPr>
        <w:drawing>
          <wp:inline distT="0" distB="0" distL="0" distR="0">
            <wp:extent cx="714375" cy="7143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icons/health_and_healthcare.png"/>
                    <pic:cNvPicPr>
                      <a:picLocks noChangeAspect="1" noChangeArrowheads="1"/>
                    </pic:cNvPicPr>
                  </pic:nvPicPr>
                  <pic:blipFill>
                    <a:blip r:embed="rId25"/>
                    <a:stretch>
                      <a:fillRect/>
                    </a:stretch>
                  </pic:blipFill>
                  <pic:spPr bwMode="auto">
                    <a:xfrm>
                      <a:off x="0" y="0"/>
                      <a:ext cx="714375" cy="714375"/>
                    </a:xfrm>
                    <a:prstGeom prst="rect">
                      <a:avLst/>
                    </a:prstGeom>
                    <a:noFill/>
                    <a:ln w="9525">
                      <a:noFill/>
                      <a:headEnd/>
                      <a:tailEnd/>
                    </a:ln>
                  </pic:spPr>
                </pic:pic>
              </a:graphicData>
            </a:graphic>
          </wp:inline>
        </w:drawing>
      </w:r>
    </w:p>
    <w:p w:rsidR="00212C9D" w:rsidRDefault="00043740">
      <w:pPr>
        <w:pStyle w:val="Heading1"/>
      </w:pPr>
      <w:bookmarkStart w:id="41" w:name="health-and-healthcare"/>
      <w:r>
        <w:t>Health and Healthcare</w:t>
      </w:r>
      <w:bookmarkEnd w:id="41"/>
    </w:p>
    <w:p w:rsidR="00212C9D" w:rsidRDefault="00043740">
      <w:pPr>
        <w:pStyle w:val="FirstParagraph"/>
      </w:pPr>
      <w:r>
        <w:t>Most people need medical care at some time in their lives. Access to affordable, quality health care is important to physical, social, and mental health. Health insurance helps individuals and families access needed primary care, specialists, and emergency</w:t>
      </w:r>
      <w:r>
        <w:t xml:space="preserve"> care, but does not ensure access on its own-it is also necessary for providers to offer affordable care, be available to treat patients, and be in relatively close proximity to patients.</w:t>
      </w:r>
      <w:hyperlink w:anchor="ref-HP2020">
        <w:r>
          <w:rPr>
            <w:rStyle w:val="Hyperlink"/>
            <w:vertAlign w:val="superscript"/>
          </w:rPr>
          <w:t>1</w:t>
        </w:r>
      </w:hyperlink>
    </w:p>
    <w:p w:rsidR="00212C9D" w:rsidRDefault="00043740">
      <w:pPr>
        <w:pStyle w:val="Heading2"/>
      </w:pPr>
      <w:bookmarkStart w:id="42" w:name="insurance"/>
      <w:r>
        <w:t>Insurance</w:t>
      </w:r>
      <w:bookmarkEnd w:id="42"/>
    </w:p>
    <w:p w:rsidR="00212C9D" w:rsidRDefault="00043740">
      <w:pPr>
        <w:pStyle w:val="FirstParagraph"/>
      </w:pPr>
      <w:r>
        <w:t>Access to health care coverage is impacted by medical insurance coverage. Lack of insurance can lead to not getting needed preventive care, or not seeking care in a timely manner. Healthy People 2020 objective AHS-1 calls for 100% health care coverage.</w:t>
      </w:r>
    </w:p>
    <w:p w:rsidR="00212C9D" w:rsidRDefault="00043740">
      <w:pPr>
        <w:pStyle w:val="Heading3"/>
      </w:pPr>
      <w:bookmarkStart w:id="43" w:name="map-5"/>
      <w:r>
        <w:t>Map</w:t>
      </w:r>
      <w:bookmarkEnd w:id="43"/>
    </w:p>
    <w:p w:rsidR="00212C9D" w:rsidRDefault="00043740">
      <w:pPr>
        <w:pStyle w:val="FirstParagraph"/>
      </w:pPr>
      <w:r>
        <w:rPr>
          <w:noProof/>
        </w:rPr>
        <w:drawing>
          <wp:inline distT="0" distB="0" distL="0" distR="0">
            <wp:extent cx="5943600" cy="44577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no_health_insurance_map.png"/>
                    <pic:cNvPicPr>
                      <a:picLocks noChangeAspect="1" noChangeArrowheads="1"/>
                    </pic:cNvPicPr>
                  </pic:nvPicPr>
                  <pic:blipFill>
                    <a:blip r:embed="rId26"/>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44" w:name="section-13"/>
      <w:bookmarkEnd w:id="44"/>
    </w:p>
    <w:p w:rsidR="00212C9D" w:rsidRDefault="00043740">
      <w:pPr>
        <w:pStyle w:val="Heading3"/>
      </w:pPr>
      <w:bookmarkStart w:id="45" w:name="chart-4"/>
      <w:r>
        <w:t>Chart</w:t>
      </w:r>
      <w:bookmarkEnd w:id="45"/>
    </w:p>
    <w:p w:rsidR="00212C9D" w:rsidRDefault="00043740">
      <w:pPr>
        <w:pStyle w:val="FirstParagraph"/>
      </w:pPr>
      <w:r>
        <w:rPr>
          <w:noProof/>
        </w:rPr>
        <w:drawing>
          <wp:inline distT="0" distB="0" distL="0" distR="0">
            <wp:extent cx="5544151" cy="415811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insurance%20chart-1.png"/>
                    <pic:cNvPicPr>
                      <a:picLocks noChangeAspect="1" noChangeArrowheads="1"/>
                    </pic:cNvPicPr>
                  </pic:nvPicPr>
                  <pic:blipFill>
                    <a:blip r:embed="rId27"/>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46" w:name="table-5"/>
      <w:r>
        <w:t>Table</w:t>
      </w:r>
      <w:bookmarkEnd w:id="46"/>
    </w:p>
    <w:tbl>
      <w:tblPr>
        <w:tblW w:w="0" w:type="auto"/>
        <w:jc w:val="center"/>
        <w:tblLayout w:type="fixed"/>
        <w:tblLook w:val="04A0" w:firstRow="1" w:lastRow="0" w:firstColumn="1" w:lastColumn="0" w:noHBand="0" w:noVBand="1"/>
      </w:tblPr>
      <w:tblGrid>
        <w:gridCol w:w="2880"/>
        <w:gridCol w:w="828"/>
        <w:gridCol w:w="1284"/>
        <w:gridCol w:w="1329"/>
      </w:tblGrid>
      <w:tr w:rsidR="00212C9D">
        <w:trPr>
          <w:cantSplit/>
          <w:trHeight w:val="438"/>
          <w:tblHeader/>
          <w:jc w:val="center"/>
        </w:trPr>
        <w:tc>
          <w:tcPr>
            <w:tcW w:w="6321" w:type="dxa"/>
            <w:gridSpan w:val="4"/>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3.1 Percentage of Uninsused by County Area in Warren County, OH in 2016 by County Area</w:t>
            </w:r>
          </w:p>
        </w:tc>
      </w:tr>
      <w:tr w:rsidR="00212C9D">
        <w:trPr>
          <w:cantSplit/>
          <w:trHeight w:val="436"/>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Count</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Population</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Percentage</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1537</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34630</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4.44</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1469</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22140</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6.64</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2496</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32123</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7.77</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1561</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32299</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4.83</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2225</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30412</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7.32</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1023</w:t>
            </w:r>
          </w:p>
        </w:tc>
        <w:tc>
          <w:tcPr>
            <w:tcW w:w="1284"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33660</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3.04</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756</w:t>
            </w:r>
          </w:p>
        </w:tc>
        <w:tc>
          <w:tcPr>
            <w:tcW w:w="1284"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30468</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2.48</w:t>
            </w:r>
          </w:p>
        </w:tc>
      </w:tr>
    </w:tbl>
    <w:p w:rsidR="00212C9D" w:rsidRDefault="00212C9D">
      <w:pPr>
        <w:pStyle w:val="Heading5"/>
      </w:pPr>
      <w:bookmarkStart w:id="47" w:name="section-14"/>
      <w:bookmarkEnd w:id="47"/>
    </w:p>
    <w:p w:rsidR="00212C9D" w:rsidRDefault="00043740">
      <w:pPr>
        <w:pStyle w:val="FirstParagraph"/>
      </w:pPr>
      <w:r>
        <w:rPr>
          <w:noProof/>
        </w:rPr>
        <w:drawing>
          <wp:inline distT="0" distB="0" distL="0" distR="0">
            <wp:extent cx="714375" cy="7143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icons/neighborhood_and_built_environment.png"/>
                    <pic:cNvPicPr>
                      <a:picLocks noChangeAspect="1" noChangeArrowheads="1"/>
                    </pic:cNvPicPr>
                  </pic:nvPicPr>
                  <pic:blipFill>
                    <a:blip r:embed="rId28"/>
                    <a:stretch>
                      <a:fillRect/>
                    </a:stretch>
                  </pic:blipFill>
                  <pic:spPr bwMode="auto">
                    <a:xfrm>
                      <a:off x="0" y="0"/>
                      <a:ext cx="714375" cy="714375"/>
                    </a:xfrm>
                    <a:prstGeom prst="rect">
                      <a:avLst/>
                    </a:prstGeom>
                    <a:noFill/>
                    <a:ln w="9525">
                      <a:noFill/>
                      <a:headEnd/>
                      <a:tailEnd/>
                    </a:ln>
                  </pic:spPr>
                </pic:pic>
              </a:graphicData>
            </a:graphic>
          </wp:inline>
        </w:drawing>
      </w:r>
    </w:p>
    <w:p w:rsidR="00212C9D" w:rsidRDefault="00043740">
      <w:pPr>
        <w:pStyle w:val="Heading1"/>
      </w:pPr>
      <w:bookmarkStart w:id="48" w:name="neighborhood-and-built-environment"/>
      <w:r>
        <w:t>Neighborhood and Built Environment</w:t>
      </w:r>
      <w:bookmarkEnd w:id="48"/>
    </w:p>
    <w:p w:rsidR="00212C9D" w:rsidRDefault="00043740">
      <w:pPr>
        <w:pStyle w:val="FirstParagraph"/>
      </w:pPr>
      <w:r>
        <w:t>Neighborhood and built environments have health impacts for the people who live there. Aspects of neighborhood environments include walkability, land use mix and urbanity, retail, recreational areas, restaurants, fast food outlets, cultural and education i</w:t>
      </w:r>
      <w:r>
        <w:t>nstitutions, and pollution, such as from traffic or waste sites. Healthy People 2020 classifies neighborhood and built environment factors into these four categories.</w:t>
      </w:r>
      <w:hyperlink w:anchor="ref-HP2020">
        <w:r>
          <w:rPr>
            <w:rStyle w:val="Hyperlink"/>
            <w:vertAlign w:val="superscript"/>
          </w:rPr>
          <w:t>1</w:t>
        </w:r>
      </w:hyperlink>
    </w:p>
    <w:p w:rsidR="00212C9D" w:rsidRDefault="00043740">
      <w:pPr>
        <w:pStyle w:val="Heading2"/>
      </w:pPr>
      <w:bookmarkStart w:id="49" w:name="owner-occupied-housing"/>
      <w:r>
        <w:t>Owner-Occupied Housing</w:t>
      </w:r>
      <w:bookmarkEnd w:id="49"/>
    </w:p>
    <w:p w:rsidR="00212C9D" w:rsidRDefault="00043740">
      <w:pPr>
        <w:pStyle w:val="FirstParagraph"/>
      </w:pPr>
      <w:r>
        <w:t>People who own their own home ar</w:t>
      </w:r>
      <w:r>
        <w:t>e more likely to be in a stable housing arrangement. Home ownership is associated with educational achievement, civic participation, greater levels of well-being, and less likelihood of being a victim of crime.</w:t>
      </w:r>
    </w:p>
    <w:p w:rsidR="00212C9D" w:rsidRDefault="00043740">
      <w:pPr>
        <w:pStyle w:val="Heading3"/>
      </w:pPr>
      <w:bookmarkStart w:id="50" w:name="map-6"/>
      <w:r>
        <w:t>Map</w:t>
      </w:r>
      <w:bookmarkEnd w:id="50"/>
    </w:p>
    <w:p w:rsidR="00212C9D" w:rsidRDefault="00043740">
      <w:pPr>
        <w:pStyle w:val="FirstParagraph"/>
      </w:pPr>
      <w:r>
        <w:rPr>
          <w:noProof/>
        </w:rPr>
        <w:drawing>
          <wp:inline distT="0" distB="0" distL="0" distR="0">
            <wp:extent cx="5943600" cy="44577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own_house_map.png"/>
                    <pic:cNvPicPr>
                      <a:picLocks noChangeAspect="1" noChangeArrowheads="1"/>
                    </pic:cNvPicPr>
                  </pic:nvPicPr>
                  <pic:blipFill>
                    <a:blip r:embed="rId29"/>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51" w:name="section-15"/>
      <w:bookmarkEnd w:id="51"/>
    </w:p>
    <w:p w:rsidR="00212C9D" w:rsidRDefault="00043740">
      <w:pPr>
        <w:pStyle w:val="Heading3"/>
      </w:pPr>
      <w:bookmarkStart w:id="52" w:name="chart-5"/>
      <w:r>
        <w:t>Chart</w:t>
      </w:r>
      <w:bookmarkEnd w:id="52"/>
    </w:p>
    <w:p w:rsidR="00212C9D" w:rsidRDefault="00043740">
      <w:pPr>
        <w:pStyle w:val="FirstParagraph"/>
      </w:pPr>
      <w:r>
        <w:rPr>
          <w:noProof/>
        </w:rPr>
        <w:drawing>
          <wp:inline distT="0" distB="0" distL="0" distR="0">
            <wp:extent cx="5544151" cy="4158113"/>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housing%20chart-1.png"/>
                    <pic:cNvPicPr>
                      <a:picLocks noChangeAspect="1" noChangeArrowheads="1"/>
                    </pic:cNvPicPr>
                  </pic:nvPicPr>
                  <pic:blipFill>
                    <a:blip r:embed="rId30"/>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53" w:name="table-6"/>
      <w:r>
        <w:t>Table</w:t>
      </w:r>
      <w:bookmarkEnd w:id="53"/>
    </w:p>
    <w:tbl>
      <w:tblPr>
        <w:tblW w:w="0" w:type="auto"/>
        <w:jc w:val="center"/>
        <w:tblLayout w:type="fixed"/>
        <w:tblLook w:val="04A0" w:firstRow="1" w:lastRow="0" w:firstColumn="1" w:lastColumn="0" w:noHBand="0" w:noVBand="1"/>
      </w:tblPr>
      <w:tblGrid>
        <w:gridCol w:w="2880"/>
        <w:gridCol w:w="2629"/>
        <w:gridCol w:w="1506"/>
        <w:gridCol w:w="1207"/>
      </w:tblGrid>
      <w:tr w:rsidR="00212C9D">
        <w:trPr>
          <w:cantSplit/>
          <w:trHeight w:val="438"/>
          <w:tblHeader/>
          <w:jc w:val="center"/>
        </w:trPr>
        <w:tc>
          <w:tcPr>
            <w:tcW w:w="8222" w:type="dxa"/>
            <w:gridSpan w:val="4"/>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 xml:space="preserve">Table 4.1 Percentage of </w:t>
            </w:r>
            <w:r>
              <w:rPr>
                <w:rFonts w:cs="Arial"/>
                <w:b/>
                <w:color w:val="000000"/>
                <w:sz w:val="20"/>
              </w:rPr>
              <w:t>Owner-Occupied Housing Units in Warren County, OH in 2016 by County Area</w:t>
            </w:r>
          </w:p>
        </w:tc>
      </w:tr>
      <w:tr w:rsidR="00212C9D">
        <w:trPr>
          <w:cantSplit/>
          <w:trHeight w:val="436"/>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26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Owner-Occupied Houses</w:t>
            </w:r>
          </w:p>
        </w:tc>
        <w:tc>
          <w:tcPr>
            <w:tcW w:w="1506"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Total Houses</w:t>
            </w:r>
          </w:p>
        </w:tc>
        <w:tc>
          <w:tcPr>
            <w:tcW w:w="1207"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Percetage</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26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8755</w:t>
            </w:r>
          </w:p>
        </w:tc>
        <w:tc>
          <w:tcPr>
            <w:tcW w:w="150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13352</w:t>
            </w:r>
          </w:p>
        </w:tc>
        <w:tc>
          <w:tcPr>
            <w:tcW w:w="1207"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65.60</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26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6887</w:t>
            </w:r>
          </w:p>
        </w:tc>
        <w:tc>
          <w:tcPr>
            <w:tcW w:w="150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8481</w:t>
            </w:r>
          </w:p>
        </w:tc>
        <w:tc>
          <w:tcPr>
            <w:tcW w:w="1207"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81.20</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26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8390</w:t>
            </w:r>
          </w:p>
        </w:tc>
        <w:tc>
          <w:tcPr>
            <w:tcW w:w="150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12600</w:t>
            </w:r>
          </w:p>
        </w:tc>
        <w:tc>
          <w:tcPr>
            <w:tcW w:w="1207"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66.60</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26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9748</w:t>
            </w:r>
          </w:p>
        </w:tc>
        <w:tc>
          <w:tcPr>
            <w:tcW w:w="150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11052</w:t>
            </w:r>
          </w:p>
        </w:tc>
        <w:tc>
          <w:tcPr>
            <w:tcW w:w="1207"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88.20</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26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7672</w:t>
            </w:r>
          </w:p>
        </w:tc>
        <w:tc>
          <w:tcPr>
            <w:tcW w:w="150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11229</w:t>
            </w:r>
          </w:p>
        </w:tc>
        <w:tc>
          <w:tcPr>
            <w:tcW w:w="1207"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68.30</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26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10185</w:t>
            </w:r>
          </w:p>
        </w:tc>
        <w:tc>
          <w:tcPr>
            <w:tcW w:w="150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12439</w:t>
            </w:r>
          </w:p>
        </w:tc>
        <w:tc>
          <w:tcPr>
            <w:tcW w:w="1207"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81.90</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26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9495</w:t>
            </w:r>
          </w:p>
        </w:tc>
        <w:tc>
          <w:tcPr>
            <w:tcW w:w="150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10313</w:t>
            </w:r>
          </w:p>
        </w:tc>
        <w:tc>
          <w:tcPr>
            <w:tcW w:w="1207"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92.10</w:t>
            </w:r>
          </w:p>
        </w:tc>
      </w:tr>
    </w:tbl>
    <w:p w:rsidR="00212C9D" w:rsidRDefault="00212C9D">
      <w:pPr>
        <w:pStyle w:val="Heading5"/>
      </w:pPr>
      <w:bookmarkStart w:id="54" w:name="section-16"/>
      <w:bookmarkEnd w:id="54"/>
    </w:p>
    <w:p w:rsidR="00212C9D" w:rsidRDefault="00043740">
      <w:pPr>
        <w:pStyle w:val="Heading2"/>
      </w:pPr>
      <w:bookmarkStart w:id="55" w:name="new-houses"/>
      <w:r>
        <w:t>New Houses</w:t>
      </w:r>
      <w:bookmarkEnd w:id="55"/>
    </w:p>
    <w:p w:rsidR="00212C9D" w:rsidRDefault="00043740">
      <w:pPr>
        <w:pStyle w:val="FirstParagraph"/>
      </w:pPr>
      <w:r>
        <w:t>Newer housing stock indicates development in an area and a greater likelihood that the houses are made with safer materials and are less liekly to contain harmful chemicals. Houses that are 15 years or older are more likely to need costly repairs.</w:t>
      </w:r>
    </w:p>
    <w:p w:rsidR="00212C9D" w:rsidRDefault="00043740">
      <w:pPr>
        <w:pStyle w:val="Heading3"/>
      </w:pPr>
      <w:bookmarkStart w:id="56" w:name="map-7"/>
      <w:r>
        <w:t>Map</w:t>
      </w:r>
      <w:bookmarkEnd w:id="56"/>
    </w:p>
    <w:p w:rsidR="00212C9D" w:rsidRDefault="00043740">
      <w:pPr>
        <w:pStyle w:val="FirstParagraph"/>
      </w:pPr>
      <w:r>
        <w:rPr>
          <w:noProof/>
        </w:rPr>
        <w:drawing>
          <wp:inline distT="0" distB="0" distL="0" distR="0">
            <wp:extent cx="5943600" cy="44577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new_house_map.png"/>
                    <pic:cNvPicPr>
                      <a:picLocks noChangeAspect="1" noChangeArrowheads="1"/>
                    </pic:cNvPicPr>
                  </pic:nvPicPr>
                  <pic:blipFill>
                    <a:blip r:embed="rId31"/>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57" w:name="section-17"/>
      <w:bookmarkEnd w:id="57"/>
    </w:p>
    <w:p w:rsidR="00212C9D" w:rsidRDefault="00043740">
      <w:pPr>
        <w:pStyle w:val="Heading3"/>
      </w:pPr>
      <w:bookmarkStart w:id="58" w:name="chart-6"/>
      <w:r>
        <w:t>C</w:t>
      </w:r>
      <w:r>
        <w:t>hart</w:t>
      </w:r>
      <w:bookmarkEnd w:id="58"/>
    </w:p>
    <w:p w:rsidR="00212C9D" w:rsidRDefault="00043740">
      <w:pPr>
        <w:pStyle w:val="FirstParagraph"/>
      </w:pPr>
      <w:r>
        <w:rPr>
          <w:noProof/>
        </w:rPr>
        <w:drawing>
          <wp:inline distT="0" distB="0" distL="0" distR="0">
            <wp:extent cx="5544151" cy="4158113"/>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new%20house%20chart-1.png"/>
                    <pic:cNvPicPr>
                      <a:picLocks noChangeAspect="1" noChangeArrowheads="1"/>
                    </pic:cNvPicPr>
                  </pic:nvPicPr>
                  <pic:blipFill>
                    <a:blip r:embed="rId32"/>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59" w:name="table-7"/>
      <w:r>
        <w:t>Table</w:t>
      </w:r>
      <w:bookmarkEnd w:id="59"/>
    </w:p>
    <w:tbl>
      <w:tblPr>
        <w:tblW w:w="0" w:type="auto"/>
        <w:jc w:val="center"/>
        <w:tblLayout w:type="fixed"/>
        <w:tblLook w:val="04A0" w:firstRow="1" w:lastRow="0" w:firstColumn="1" w:lastColumn="0" w:noHBand="0" w:noVBand="1"/>
      </w:tblPr>
      <w:tblGrid>
        <w:gridCol w:w="2880"/>
        <w:gridCol w:w="1996"/>
        <w:gridCol w:w="1940"/>
        <w:gridCol w:w="1940"/>
        <w:gridCol w:w="1885"/>
      </w:tblGrid>
      <w:tr w:rsidR="00212C9D">
        <w:trPr>
          <w:cantSplit/>
          <w:trHeight w:val="438"/>
          <w:tblHeader/>
          <w:jc w:val="center"/>
        </w:trPr>
        <w:tc>
          <w:tcPr>
            <w:tcW w:w="10641" w:type="dxa"/>
            <w:gridSpan w:val="5"/>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4.2 Age of Housing Units in Warren County, OH in 2016 by County Area</w:t>
            </w:r>
          </w:p>
        </w:tc>
      </w:tr>
      <w:tr w:rsidR="00212C9D">
        <w:trPr>
          <w:cantSplit/>
          <w:trHeight w:val="399"/>
          <w:tblHeader/>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Area</w:t>
            </w:r>
          </w:p>
        </w:tc>
        <w:tc>
          <w:tcPr>
            <w:tcW w:w="1996"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Built 2014 or Later</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Built 2010 to 2013</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Built 2000 to 2009</w:t>
            </w:r>
          </w:p>
        </w:tc>
        <w:tc>
          <w:tcPr>
            <w:tcW w:w="1885"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Built Before 2000</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Deerfield-Kings Mills Area</w:t>
            </w:r>
          </w:p>
        </w:tc>
        <w:tc>
          <w:tcPr>
            <w:tcW w:w="199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41</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728</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3156</w:t>
            </w:r>
          </w:p>
        </w:tc>
        <w:tc>
          <w:tcPr>
            <w:tcW w:w="1885"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9992</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East Rural Area</w:t>
            </w:r>
          </w:p>
        </w:tc>
        <w:tc>
          <w:tcPr>
            <w:tcW w:w="199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36</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161</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1799</w:t>
            </w:r>
          </w:p>
        </w:tc>
        <w:tc>
          <w:tcPr>
            <w:tcW w:w="1885"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6979</w:t>
            </w:r>
          </w:p>
        </w:tc>
      </w:tr>
      <w:tr w:rsidR="00212C9D">
        <w:trPr>
          <w:cantSplit/>
          <w:trHeight w:val="399"/>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Franklin-Carlisle Area</w:t>
            </w:r>
          </w:p>
        </w:tc>
        <w:tc>
          <w:tcPr>
            <w:tcW w:w="199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161</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1959</w:t>
            </w:r>
          </w:p>
        </w:tc>
        <w:tc>
          <w:tcPr>
            <w:tcW w:w="1885"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11412</w:t>
            </w:r>
          </w:p>
        </w:tc>
      </w:tr>
      <w:tr w:rsidR="00212C9D">
        <w:trPr>
          <w:cantSplit/>
          <w:trHeight w:val="433"/>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Hamilton-Union Township Area</w:t>
            </w:r>
          </w:p>
        </w:tc>
        <w:tc>
          <w:tcPr>
            <w:tcW w:w="199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207</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766</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5417</w:t>
            </w:r>
          </w:p>
        </w:tc>
        <w:tc>
          <w:tcPr>
            <w:tcW w:w="1885"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5176</w:t>
            </w:r>
          </w:p>
        </w:tc>
      </w:tr>
      <w:tr w:rsidR="00212C9D">
        <w:trPr>
          <w:cantSplit/>
          <w:trHeight w:val="397"/>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Lebanon-Turtlecreek Area</w:t>
            </w:r>
          </w:p>
        </w:tc>
        <w:tc>
          <w:tcPr>
            <w:tcW w:w="199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44</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423</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2712</w:t>
            </w:r>
          </w:p>
        </w:tc>
        <w:tc>
          <w:tcPr>
            <w:tcW w:w="1885"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8987</w:t>
            </w:r>
          </w:p>
        </w:tc>
      </w:tr>
      <w:tr w:rsidR="00212C9D">
        <w:trPr>
          <w:cantSplit/>
          <w:trHeight w:val="397"/>
          <w:jc w:val="center"/>
        </w:trPr>
        <w:tc>
          <w:tcPr>
            <w:tcW w:w="288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Mason Area</w:t>
            </w:r>
          </w:p>
        </w:tc>
        <w:tc>
          <w:tcPr>
            <w:tcW w:w="1996"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109</w:t>
            </w:r>
          </w:p>
        </w:tc>
        <w:tc>
          <w:tcPr>
            <w:tcW w:w="19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4204</w:t>
            </w:r>
          </w:p>
        </w:tc>
        <w:tc>
          <w:tcPr>
            <w:tcW w:w="1885"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8430</w:t>
            </w:r>
          </w:p>
        </w:tc>
      </w:tr>
      <w:tr w:rsidR="00212C9D">
        <w:trPr>
          <w:cantSplit/>
          <w:trHeight w:val="438"/>
          <w:jc w:val="center"/>
        </w:trPr>
        <w:tc>
          <w:tcPr>
            <w:tcW w:w="288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Springboro-Clearcreek Area</w:t>
            </w:r>
          </w:p>
        </w:tc>
        <w:tc>
          <w:tcPr>
            <w:tcW w:w="1996"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66</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527</w:t>
            </w:r>
          </w:p>
        </w:tc>
        <w:tc>
          <w:tcPr>
            <w:tcW w:w="19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3134</w:t>
            </w:r>
          </w:p>
        </w:tc>
        <w:tc>
          <w:tcPr>
            <w:tcW w:w="1885"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7075</w:t>
            </w:r>
          </w:p>
        </w:tc>
      </w:tr>
    </w:tbl>
    <w:p w:rsidR="00212C9D" w:rsidRDefault="00212C9D">
      <w:pPr>
        <w:pStyle w:val="Heading5"/>
      </w:pPr>
      <w:bookmarkStart w:id="60" w:name="section-18"/>
      <w:bookmarkEnd w:id="60"/>
    </w:p>
    <w:p w:rsidR="00212C9D" w:rsidRDefault="00043740">
      <w:pPr>
        <w:pStyle w:val="Heading2"/>
      </w:pPr>
      <w:bookmarkStart w:id="61" w:name="crime"/>
      <w:r>
        <w:t>Crime</w:t>
      </w:r>
      <w:bookmarkEnd w:id="61"/>
    </w:p>
    <w:p w:rsidR="00212C9D" w:rsidRDefault="00043740">
      <w:pPr>
        <w:pStyle w:val="FirstParagraph"/>
      </w:pPr>
      <w:r>
        <w:t>Crime and violence are aspects of the neighborhood and built environments that impact overall health. A sense of security and well-being is an important social determinant of health.</w:t>
      </w:r>
    </w:p>
    <w:tbl>
      <w:tblPr>
        <w:tblW w:w="0" w:type="auto"/>
        <w:jc w:val="center"/>
        <w:tblLayout w:type="fixed"/>
        <w:tblLook w:val="04A0" w:firstRow="1" w:lastRow="0" w:firstColumn="1" w:lastColumn="0" w:noHBand="0" w:noVBand="1"/>
      </w:tblPr>
      <w:tblGrid>
        <w:gridCol w:w="1440"/>
        <w:gridCol w:w="1440"/>
        <w:gridCol w:w="1440"/>
        <w:gridCol w:w="1440"/>
        <w:gridCol w:w="1440"/>
        <w:gridCol w:w="1440"/>
      </w:tblGrid>
      <w:tr w:rsidR="00212C9D">
        <w:trPr>
          <w:cantSplit/>
          <w:trHeight w:val="438"/>
          <w:tblHeader/>
          <w:jc w:val="center"/>
        </w:trPr>
        <w:tc>
          <w:tcPr>
            <w:tcW w:w="8640" w:type="dxa"/>
            <w:gridSpan w:val="6"/>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4.3 Crime in Warren County, OH in 2016</w:t>
            </w:r>
          </w:p>
        </w:tc>
      </w:tr>
      <w:tr w:rsidR="00212C9D">
        <w:trPr>
          <w:cantSplit/>
          <w:trHeight w:val="438"/>
          <w:tblHeader/>
          <w:jc w:val="center"/>
        </w:trPr>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Geography</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Population</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 of Property Crimes</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Property Crime Rate</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 of Violent Crimes</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Violent Crime Rate</w:t>
            </w:r>
          </w:p>
        </w:tc>
      </w:tr>
      <w:tr w:rsidR="00212C9D">
        <w:trPr>
          <w:cantSplit/>
          <w:trHeight w:val="399"/>
          <w:jc w:val="center"/>
        </w:trPr>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Ohio</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11631449</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271175</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2331.4</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159763</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1373.5</w:t>
            </w:r>
          </w:p>
        </w:tc>
      </w:tr>
      <w:tr w:rsidR="00212C9D">
        <w:trPr>
          <w:cantSplit/>
          <w:trHeight w:val="438"/>
          <w:jc w:val="center"/>
        </w:trPr>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Warren County</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227168</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2425</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1067.5</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851</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374.6</w:t>
            </w:r>
          </w:p>
        </w:tc>
      </w:tr>
      <w:tr w:rsidR="00212C9D">
        <w:trPr>
          <w:cantSplit/>
          <w:trHeight w:val="438"/>
          <w:jc w:val="center"/>
        </w:trPr>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Medina County</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183317</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1189</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648.6</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517</w:t>
            </w:r>
          </w:p>
        </w:tc>
        <w:tc>
          <w:tcPr>
            <w:tcW w:w="144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282.0</w:t>
            </w:r>
          </w:p>
        </w:tc>
      </w:tr>
      <w:tr w:rsidR="00212C9D">
        <w:trPr>
          <w:cantSplit/>
          <w:trHeight w:val="438"/>
          <w:jc w:val="center"/>
        </w:trPr>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Delaware County</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175635</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2165</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1232.7</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818</w:t>
            </w:r>
          </w:p>
        </w:tc>
        <w:tc>
          <w:tcPr>
            <w:tcW w:w="144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465.7</w:t>
            </w:r>
          </w:p>
        </w:tc>
      </w:tr>
    </w:tbl>
    <w:p w:rsidR="00212C9D" w:rsidRDefault="00212C9D">
      <w:pPr>
        <w:pStyle w:val="Heading5"/>
      </w:pPr>
      <w:bookmarkStart w:id="62" w:name="section-19"/>
      <w:bookmarkEnd w:id="62"/>
    </w:p>
    <w:p w:rsidR="00212C9D" w:rsidRDefault="00043740">
      <w:pPr>
        <w:pStyle w:val="Heading3"/>
      </w:pPr>
      <w:bookmarkStart w:id="63" w:name="property-crime"/>
      <w:r>
        <w:t>Property Crime</w:t>
      </w:r>
      <w:bookmarkEnd w:id="63"/>
    </w:p>
    <w:p w:rsidR="00212C9D" w:rsidRDefault="00043740">
      <w:pPr>
        <w:pStyle w:val="FirstParagraph"/>
      </w:pPr>
      <w:r>
        <w:t>Property crime includes household burglary, motor vehicle and property theft.</w:t>
      </w:r>
    </w:p>
    <w:p w:rsidR="00212C9D" w:rsidRDefault="00043740">
      <w:pPr>
        <w:pStyle w:val="BodyText"/>
      </w:pPr>
      <w:r>
        <w:rPr>
          <w:noProof/>
        </w:rPr>
        <w:drawing>
          <wp:inline distT="0" distB="0" distL="0" distR="0">
            <wp:extent cx="5943600" cy="44577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harts/2016_Warren_OH_property_crime_graph.png"/>
                    <pic:cNvPicPr>
                      <a:picLocks noChangeAspect="1" noChangeArrowheads="1"/>
                    </pic:cNvPicPr>
                  </pic:nvPicPr>
                  <pic:blipFill>
                    <a:blip r:embed="rId33"/>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64" w:name="section-20"/>
      <w:bookmarkEnd w:id="64"/>
    </w:p>
    <w:p w:rsidR="00212C9D" w:rsidRDefault="00043740">
      <w:pPr>
        <w:pStyle w:val="Heading3"/>
      </w:pPr>
      <w:bookmarkStart w:id="65" w:name="violent-crime"/>
      <w:r>
        <w:t>Violent Crime</w:t>
      </w:r>
      <w:bookmarkEnd w:id="65"/>
    </w:p>
    <w:p w:rsidR="00212C9D" w:rsidRDefault="00043740">
      <w:pPr>
        <w:pStyle w:val="FirstParagraph"/>
      </w:pPr>
      <w:r>
        <w:t>Violent crime involves force or the threat of force and includes murder, rape and sexual assault, robbery, aggravated assault, and assault.</w:t>
      </w:r>
    </w:p>
    <w:p w:rsidR="00212C9D" w:rsidRDefault="00043740">
      <w:pPr>
        <w:pStyle w:val="BodyText"/>
      </w:pPr>
      <w:r>
        <w:rPr>
          <w:noProof/>
        </w:rPr>
        <w:drawing>
          <wp:inline distT="0" distB="0" distL="0" distR="0">
            <wp:extent cx="5943600" cy="44577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harts/2016_Warren_OH_violent_crime_graph.png"/>
                    <pic:cNvPicPr>
                      <a:picLocks noChangeAspect="1" noChangeArrowheads="1"/>
                    </pic:cNvPicPr>
                  </pic:nvPicPr>
                  <pic:blipFill>
                    <a:blip r:embed="rId34"/>
                    <a:stretch>
                      <a:fillRect/>
                    </a:stretch>
                  </pic:blipFill>
                  <pic:spPr bwMode="auto">
                    <a:xfrm>
                      <a:off x="0" y="0"/>
                      <a:ext cx="5943600" cy="4457700"/>
                    </a:xfrm>
                    <a:prstGeom prst="rect">
                      <a:avLst/>
                    </a:prstGeom>
                    <a:noFill/>
                    <a:ln w="9525">
                      <a:noFill/>
                      <a:headEnd/>
                      <a:tailEnd/>
                    </a:ln>
                  </pic:spPr>
                </pic:pic>
              </a:graphicData>
            </a:graphic>
          </wp:inline>
        </w:drawing>
      </w:r>
    </w:p>
    <w:p w:rsidR="00212C9D" w:rsidRDefault="00212C9D">
      <w:pPr>
        <w:pStyle w:val="Heading5"/>
      </w:pPr>
      <w:bookmarkStart w:id="66" w:name="section-21"/>
      <w:bookmarkEnd w:id="66"/>
    </w:p>
    <w:p w:rsidR="00212C9D" w:rsidRDefault="00043740">
      <w:pPr>
        <w:pStyle w:val="FirstParagraph"/>
      </w:pPr>
      <w:r>
        <w:rPr>
          <w:noProof/>
        </w:rPr>
        <w:drawing>
          <wp:inline distT="0" distB="0" distL="0" distR="0">
            <wp:extent cx="714375" cy="714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template/graphics/icons/education.png"/>
                    <pic:cNvPicPr>
                      <a:picLocks noChangeAspect="1" noChangeArrowheads="1"/>
                    </pic:cNvPicPr>
                  </pic:nvPicPr>
                  <pic:blipFill>
                    <a:blip r:embed="rId35"/>
                    <a:stretch>
                      <a:fillRect/>
                    </a:stretch>
                  </pic:blipFill>
                  <pic:spPr bwMode="auto">
                    <a:xfrm>
                      <a:off x="0" y="0"/>
                      <a:ext cx="714375" cy="714375"/>
                    </a:xfrm>
                    <a:prstGeom prst="rect">
                      <a:avLst/>
                    </a:prstGeom>
                    <a:noFill/>
                    <a:ln w="9525">
                      <a:noFill/>
                      <a:headEnd/>
                      <a:tailEnd/>
                    </a:ln>
                  </pic:spPr>
                </pic:pic>
              </a:graphicData>
            </a:graphic>
          </wp:inline>
        </w:drawing>
      </w:r>
    </w:p>
    <w:p w:rsidR="00212C9D" w:rsidRDefault="00043740">
      <w:pPr>
        <w:pStyle w:val="Heading1"/>
      </w:pPr>
      <w:bookmarkStart w:id="67" w:name="education"/>
      <w:r>
        <w:t>Education</w:t>
      </w:r>
      <w:bookmarkEnd w:id="67"/>
    </w:p>
    <w:p w:rsidR="00212C9D" w:rsidRDefault="00043740">
      <w:pPr>
        <w:pStyle w:val="FirstParagraph"/>
      </w:pPr>
      <w:r>
        <w:t>The amount of education a person has is often called “educational attainment” in academic literature. Just as education and educational attainment can effect health outcomes, a person’s health can affect the amount of education that he or she is</w:t>
      </w:r>
      <w:r>
        <w:t xml:space="preserve"> able to attain. The CDC reports that “Health-related factors such as hunger, physical and emotional abuse, and chronic illness can lead to poor school performance”.</w:t>
      </w:r>
      <w:hyperlink w:anchor="ref-HP2020">
        <w:r>
          <w:rPr>
            <w:rStyle w:val="Hyperlink"/>
            <w:vertAlign w:val="superscript"/>
          </w:rPr>
          <w:t>1</w:t>
        </w:r>
      </w:hyperlink>
      <w:r>
        <w:rPr>
          <w:vertAlign w:val="superscript"/>
        </w:rPr>
        <w:t>,</w:t>
      </w:r>
      <w:hyperlink w:anchor="ref-RWJF_Education">
        <w:r>
          <w:rPr>
            <w:rStyle w:val="Hyperlink"/>
            <w:vertAlign w:val="superscript"/>
          </w:rPr>
          <w:t>8</w:t>
        </w:r>
      </w:hyperlink>
    </w:p>
    <w:p w:rsidR="00212C9D" w:rsidRDefault="00043740">
      <w:pPr>
        <w:pStyle w:val="Heading2"/>
      </w:pPr>
      <w:bookmarkStart w:id="68" w:name="educational-attainment"/>
      <w:r>
        <w:t>Educational A</w:t>
      </w:r>
      <w:r>
        <w:t>ttainment</w:t>
      </w:r>
      <w:bookmarkEnd w:id="68"/>
    </w:p>
    <w:p w:rsidR="00212C9D" w:rsidRDefault="00043740">
      <w:pPr>
        <w:pStyle w:val="FirstParagraph"/>
      </w:pPr>
      <w:r>
        <w:t>Higher educational attainment is associated with better health outcomes. Education impacts health literacy, knowledge, and behaviors, improves income and work conditions, and contributes to social support and a sense of control.</w:t>
      </w:r>
    </w:p>
    <w:p w:rsidR="00212C9D" w:rsidRDefault="00043740">
      <w:pPr>
        <w:pStyle w:val="Heading3"/>
      </w:pPr>
      <w:bookmarkStart w:id="69" w:name="map-8"/>
      <w:r>
        <w:t>Map</w:t>
      </w:r>
      <w:bookmarkEnd w:id="69"/>
    </w:p>
    <w:p w:rsidR="00212C9D" w:rsidRDefault="00043740">
      <w:pPr>
        <w:pStyle w:val="FirstParagraph"/>
      </w:pPr>
      <w:r>
        <w:rPr>
          <w:noProof/>
        </w:rPr>
        <w:drawing>
          <wp:inline distT="0" distB="0" distL="0" distR="0">
            <wp:extent cx="5943600" cy="39624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aps/2016_Warren_OH_educational_attainment_map.png"/>
                    <pic:cNvPicPr>
                      <a:picLocks noChangeAspect="1" noChangeArrowheads="1"/>
                    </pic:cNvPicPr>
                  </pic:nvPicPr>
                  <pic:blipFill>
                    <a:blip r:embed="rId36"/>
                    <a:stretch>
                      <a:fillRect/>
                    </a:stretch>
                  </pic:blipFill>
                  <pic:spPr bwMode="auto">
                    <a:xfrm>
                      <a:off x="0" y="0"/>
                      <a:ext cx="5943600" cy="3962400"/>
                    </a:xfrm>
                    <a:prstGeom prst="rect">
                      <a:avLst/>
                    </a:prstGeom>
                    <a:noFill/>
                    <a:ln w="9525">
                      <a:noFill/>
                      <a:headEnd/>
                      <a:tailEnd/>
                    </a:ln>
                  </pic:spPr>
                </pic:pic>
              </a:graphicData>
            </a:graphic>
          </wp:inline>
        </w:drawing>
      </w:r>
    </w:p>
    <w:p w:rsidR="00212C9D" w:rsidRDefault="00212C9D">
      <w:pPr>
        <w:pStyle w:val="Heading5"/>
      </w:pPr>
      <w:bookmarkStart w:id="70" w:name="section-22"/>
      <w:bookmarkEnd w:id="70"/>
    </w:p>
    <w:p w:rsidR="00212C9D" w:rsidRDefault="00043740">
      <w:pPr>
        <w:pStyle w:val="Heading3"/>
      </w:pPr>
      <w:bookmarkStart w:id="71" w:name="chart-7"/>
      <w:r>
        <w:t>Chart</w:t>
      </w:r>
      <w:bookmarkEnd w:id="71"/>
    </w:p>
    <w:p w:rsidR="00212C9D" w:rsidRDefault="00043740">
      <w:pPr>
        <w:pStyle w:val="FirstParagraph"/>
      </w:pPr>
      <w:r>
        <w:rPr>
          <w:noProof/>
        </w:rPr>
        <w:drawing>
          <wp:inline distT="0" distB="0" distL="0" distR="0">
            <wp:extent cx="5544151" cy="4158113"/>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annual_update_files/figure-docx/education%20chart-1.png"/>
                    <pic:cNvPicPr>
                      <a:picLocks noChangeAspect="1" noChangeArrowheads="1"/>
                    </pic:cNvPicPr>
                  </pic:nvPicPr>
                  <pic:blipFill>
                    <a:blip r:embed="rId37"/>
                    <a:stretch>
                      <a:fillRect/>
                    </a:stretch>
                  </pic:blipFill>
                  <pic:spPr bwMode="auto">
                    <a:xfrm>
                      <a:off x="0" y="0"/>
                      <a:ext cx="5544151" cy="4158113"/>
                    </a:xfrm>
                    <a:prstGeom prst="rect">
                      <a:avLst/>
                    </a:prstGeom>
                    <a:noFill/>
                    <a:ln w="9525">
                      <a:noFill/>
                      <a:headEnd/>
                      <a:tailEnd/>
                    </a:ln>
                  </pic:spPr>
                </pic:pic>
              </a:graphicData>
            </a:graphic>
          </wp:inline>
        </w:drawing>
      </w:r>
    </w:p>
    <w:p w:rsidR="00212C9D" w:rsidRDefault="00043740">
      <w:pPr>
        <w:pStyle w:val="Heading3"/>
      </w:pPr>
      <w:bookmarkStart w:id="72" w:name="table-8"/>
      <w:r>
        <w:t>Table</w:t>
      </w:r>
      <w:bookmarkEnd w:id="72"/>
    </w:p>
    <w:tbl>
      <w:tblPr>
        <w:tblW w:w="0" w:type="auto"/>
        <w:jc w:val="center"/>
        <w:tblLayout w:type="fixed"/>
        <w:tblLook w:val="04A0" w:firstRow="1" w:lastRow="0" w:firstColumn="1" w:lastColumn="0" w:noHBand="0" w:noVBand="1"/>
      </w:tblPr>
      <w:tblGrid>
        <w:gridCol w:w="4320"/>
        <w:gridCol w:w="828"/>
        <w:gridCol w:w="1329"/>
      </w:tblGrid>
      <w:tr w:rsidR="00212C9D">
        <w:trPr>
          <w:cantSplit/>
          <w:trHeight w:val="438"/>
          <w:tblHeader/>
          <w:jc w:val="center"/>
        </w:trPr>
        <w:tc>
          <w:tcPr>
            <w:tcW w:w="6477" w:type="dxa"/>
            <w:gridSpan w:val="3"/>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Table 5.1 Educational Attainment in Warren County, OH in 2016 by County Area</w:t>
            </w:r>
          </w:p>
        </w:tc>
      </w:tr>
      <w:tr w:rsidR="00212C9D">
        <w:trPr>
          <w:cantSplit/>
          <w:trHeight w:val="436"/>
          <w:tblHeader/>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Education</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Count</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b/>
                <w:color w:val="000000"/>
                <w:sz w:val="20"/>
              </w:rPr>
              <w:t>Percentage</w:t>
            </w:r>
          </w:p>
        </w:tc>
      </w:tr>
      <w:tr w:rsidR="00212C9D">
        <w:trPr>
          <w:cantSplit/>
          <w:trHeight w:val="399"/>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Less than 9th Grade</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2588</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1.75</w:t>
            </w:r>
          </w:p>
        </w:tc>
      </w:tr>
      <w:tr w:rsidR="00212C9D">
        <w:trPr>
          <w:cantSplit/>
          <w:trHeight w:val="436"/>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9th to 12th Grade, No Diploma</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7877</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5.33</w:t>
            </w:r>
          </w:p>
        </w:tc>
      </w:tr>
      <w:tr w:rsidR="00212C9D">
        <w:trPr>
          <w:cantSplit/>
          <w:trHeight w:val="438"/>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High School or Equivalent</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38588</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26.10</w:t>
            </w:r>
          </w:p>
        </w:tc>
      </w:tr>
      <w:tr w:rsidR="00212C9D">
        <w:trPr>
          <w:cantSplit/>
          <w:trHeight w:val="438"/>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Some College, No Degree</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25555</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17.28</w:t>
            </w:r>
          </w:p>
        </w:tc>
      </w:tr>
      <w:tr w:rsidR="00212C9D">
        <w:trPr>
          <w:cantSplit/>
          <w:trHeight w:val="436"/>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Associate's Degree</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12673</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8.57</w:t>
            </w:r>
          </w:p>
        </w:tc>
      </w:tr>
      <w:tr w:rsidR="00212C9D">
        <w:trPr>
          <w:cantSplit/>
          <w:trHeight w:val="436"/>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Bachelor's Degree</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38132</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25.79</w:t>
            </w:r>
          </w:p>
        </w:tc>
      </w:tr>
      <w:tr w:rsidR="00212C9D">
        <w:trPr>
          <w:cantSplit/>
          <w:trHeight w:val="436"/>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Master's Degree</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17098</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11.56</w:t>
            </w:r>
          </w:p>
        </w:tc>
      </w:tr>
      <w:tr w:rsidR="00212C9D">
        <w:trPr>
          <w:cantSplit/>
          <w:trHeight w:val="438"/>
          <w:jc w:val="center"/>
        </w:trPr>
        <w:tc>
          <w:tcPr>
            <w:tcW w:w="4320"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Professional School Degree</w:t>
            </w:r>
          </w:p>
        </w:tc>
        <w:tc>
          <w:tcPr>
            <w:tcW w:w="828"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3221</w:t>
            </w:r>
          </w:p>
        </w:tc>
        <w:tc>
          <w:tcPr>
            <w:tcW w:w="1329" w:type="dxa"/>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2.18</w:t>
            </w:r>
          </w:p>
        </w:tc>
      </w:tr>
      <w:tr w:rsidR="00212C9D">
        <w:trPr>
          <w:cantSplit/>
          <w:trHeight w:val="436"/>
          <w:jc w:val="center"/>
        </w:trPr>
        <w:tc>
          <w:tcPr>
            <w:tcW w:w="4320"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Doctorate Degree</w:t>
            </w:r>
          </w:p>
        </w:tc>
        <w:tc>
          <w:tcPr>
            <w:tcW w:w="828"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2140</w:t>
            </w:r>
          </w:p>
        </w:tc>
        <w:tc>
          <w:tcPr>
            <w:tcW w:w="1329" w:type="dxa"/>
            <w:shd w:val="clear" w:color="auto" w:fill="EFEFEF"/>
            <w:tcMar>
              <w:top w:w="0" w:type="dxa"/>
              <w:left w:w="0" w:type="dxa"/>
              <w:bottom w:w="0" w:type="dxa"/>
              <w:right w:w="0" w:type="dxa"/>
            </w:tcMar>
            <w:vAlign w:val="center"/>
          </w:tcPr>
          <w:p w:rsidR="00212C9D" w:rsidRDefault="00043740">
            <w:pPr>
              <w:spacing w:before="40" w:after="40"/>
              <w:ind w:left="40" w:right="40"/>
              <w:jc w:val="right"/>
            </w:pPr>
            <w:r>
              <w:rPr>
                <w:rFonts w:cs="Arial"/>
                <w:color w:val="000000"/>
                <w:sz w:val="20"/>
              </w:rPr>
              <w:t>1.45</w:t>
            </w:r>
          </w:p>
        </w:tc>
      </w:tr>
    </w:tbl>
    <w:p w:rsidR="00212C9D" w:rsidRDefault="00043740">
      <w:pPr>
        <w:pStyle w:val="Heading3"/>
      </w:pPr>
      <w:bookmarkStart w:id="73" w:name="references"/>
      <w:r>
        <w:t>References</w:t>
      </w:r>
      <w:bookmarkEnd w:id="73"/>
    </w:p>
    <w:p w:rsidR="00212C9D" w:rsidRDefault="00043740">
      <w:pPr>
        <w:pStyle w:val="Bibliography"/>
      </w:pPr>
      <w:bookmarkStart w:id="74" w:name="ref-HP2020"/>
      <w:bookmarkStart w:id="75" w:name="refs"/>
      <w:r>
        <w:lastRenderedPageBreak/>
        <w:t xml:space="preserve">1. </w:t>
      </w:r>
      <w:r>
        <w:rPr>
          <w:i/>
        </w:rPr>
        <w:t>Healthy People 2020</w:t>
      </w:r>
      <w:r>
        <w:t>. U.S. Department of Health; Human Services, Office of Disease Prevention; Health Promotion; 2010.</w:t>
      </w:r>
    </w:p>
    <w:p w:rsidR="00212C9D" w:rsidRDefault="00043740">
      <w:pPr>
        <w:pStyle w:val="Bibliography"/>
      </w:pPr>
      <w:bookmarkStart w:id="76" w:name="ref-R-Project"/>
      <w:bookmarkEnd w:id="74"/>
      <w:r>
        <w:t xml:space="preserve">2. R Core Team. </w:t>
      </w:r>
      <w:r>
        <w:rPr>
          <w:i/>
        </w:rPr>
        <w:t>R: A Language and Environment for Statistical Computing</w:t>
      </w:r>
      <w:r>
        <w:t xml:space="preserve">. Vienna, Austria: R Foundation for Statistical Computing; 2014. </w:t>
      </w:r>
      <w:hyperlink r:id="rId38">
        <w:r>
          <w:rPr>
            <w:rStyle w:val="Hyperlink"/>
          </w:rPr>
          <w:t>http://www.R-project.org/</w:t>
        </w:r>
      </w:hyperlink>
      <w:r>
        <w:t>.</w:t>
      </w:r>
    </w:p>
    <w:p w:rsidR="00212C9D" w:rsidRDefault="00043740">
      <w:pPr>
        <w:pStyle w:val="Bibliography"/>
      </w:pPr>
      <w:bookmarkStart w:id="77" w:name="ref-R-Studio"/>
      <w:bookmarkEnd w:id="76"/>
      <w:r>
        <w:t xml:space="preserve">3. RStudio Team. </w:t>
      </w:r>
      <w:r>
        <w:rPr>
          <w:i/>
        </w:rPr>
        <w:t>RStudio: Integrated Development Environment for R</w:t>
      </w:r>
      <w:r>
        <w:t xml:space="preserve">. Boston, MA: RStudio, Inc.; 2015. </w:t>
      </w:r>
      <w:hyperlink r:id="rId39">
        <w:r>
          <w:rPr>
            <w:rStyle w:val="Hyperlink"/>
          </w:rPr>
          <w:t>http://www.rstudio.com/</w:t>
        </w:r>
      </w:hyperlink>
      <w:r>
        <w:t>.</w:t>
      </w:r>
    </w:p>
    <w:p w:rsidR="00212C9D" w:rsidRDefault="00043740">
      <w:pPr>
        <w:pStyle w:val="Bibliography"/>
      </w:pPr>
      <w:bookmarkStart w:id="78" w:name="ref-Wickham2017"/>
      <w:bookmarkEnd w:id="77"/>
      <w:r>
        <w:t xml:space="preserve">4. Wickham H, Grolemund G. </w:t>
      </w:r>
      <w:r>
        <w:rPr>
          <w:i/>
        </w:rPr>
        <w:t>R for Dat</w:t>
      </w:r>
      <w:r>
        <w:rPr>
          <w:i/>
        </w:rPr>
        <w:t>a Science: Import, Tidy, Transform, Visualize, and Model Data</w:t>
      </w:r>
      <w:r>
        <w:t>. 1st ed. O’Reilly Media, Inc.; 2017.</w:t>
      </w:r>
    </w:p>
    <w:p w:rsidR="00212C9D" w:rsidRDefault="00043740">
      <w:pPr>
        <w:pStyle w:val="Bibliography"/>
      </w:pPr>
      <w:bookmarkStart w:id="79" w:name="ref-ACS2015"/>
      <w:bookmarkEnd w:id="78"/>
      <w:r>
        <w:t>5. Bureau USC. American community survey. 2015.</w:t>
      </w:r>
    </w:p>
    <w:p w:rsidR="00212C9D" w:rsidRDefault="00043740">
      <w:pPr>
        <w:pStyle w:val="Bibliography"/>
      </w:pPr>
      <w:bookmarkStart w:id="80" w:name="ref-AHRF2015"/>
      <w:bookmarkEnd w:id="79"/>
      <w:r>
        <w:t>6. Services Administration HR &amp;. Area health resources files. 2015.</w:t>
      </w:r>
    </w:p>
    <w:p w:rsidR="00212C9D" w:rsidRDefault="00043740">
      <w:pPr>
        <w:pStyle w:val="Bibliography"/>
      </w:pPr>
      <w:bookmarkStart w:id="81" w:name="ref-UCR2015"/>
      <w:bookmarkEnd w:id="80"/>
      <w:r>
        <w:t>7. Investigation USFB of. Uniform crime r</w:t>
      </w:r>
      <w:r>
        <w:t>eporting program data, offenses known and clearances by arrest.</w:t>
      </w:r>
    </w:p>
    <w:p w:rsidR="00212C9D" w:rsidRDefault="00043740">
      <w:pPr>
        <w:pStyle w:val="Bibliography"/>
      </w:pPr>
      <w:bookmarkStart w:id="82" w:name="ref-RWJF_Education"/>
      <w:bookmarkEnd w:id="81"/>
      <w:r>
        <w:t xml:space="preserve">8. </w:t>
      </w:r>
      <w:r>
        <w:rPr>
          <w:i/>
        </w:rPr>
        <w:t>Issue Brief 6: Education and Health</w:t>
      </w:r>
      <w:r>
        <w:t>. Robert Wood Johnson Foundation; 2009.</w:t>
      </w:r>
    </w:p>
    <w:bookmarkEnd w:id="82"/>
    <w:bookmarkEnd w:id="75"/>
    <w:sectPr w:rsidR="00212C9D" w:rsidSect="00F958AC">
      <w:pgSz w:w="12240" w:h="15840"/>
      <w:pgMar w:top="1440" w:right="1440" w:bottom="1440" w:left="1440" w:header="432" w:footer="432"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043740">
      <w:pPr>
        <w:spacing w:before="0" w:after="0"/>
      </w:pPr>
      <w:r>
        <w:separator/>
      </w:r>
    </w:p>
  </w:endnote>
  <w:endnote w:type="continuationSeparator" w:id="0">
    <w:p w:rsidR="00000000" w:rsidRDefault="0004374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2C9D" w:rsidRDefault="00043740">
      <w:r>
        <w:separator/>
      </w:r>
    </w:p>
  </w:footnote>
  <w:footnote w:type="continuationSeparator" w:id="0">
    <w:p w:rsidR="00212C9D" w:rsidRDefault="00043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3DA1025"/>
    <w:multiLevelType w:val="multilevel"/>
    <w:tmpl w:val="FFF896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CA527FAB"/>
    <w:multiLevelType w:val="multilevel"/>
    <w:tmpl w:val="EACAFA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36BE9CB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A454B4C"/>
    <w:multiLevelType w:val="multilevel"/>
    <w:tmpl w:val="C5BC66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 w15:restartNumberingAfterBreak="0">
    <w:nsid w:val="2C1AE401"/>
    <w:multiLevelType w:val="multilevel"/>
    <w:tmpl w:val="928818A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xM7WwMDE0MzQ1MDVR0lEKTi0uzszPAykwrAUAayi5iiwAAAA="/>
  </w:docVars>
  <w:rsids>
    <w:rsidRoot w:val="00590D07"/>
    <w:rsid w:val="00011C8B"/>
    <w:rsid w:val="00043740"/>
    <w:rsid w:val="00212C9D"/>
    <w:rsid w:val="004E29B3"/>
    <w:rsid w:val="00590D07"/>
    <w:rsid w:val="00784D58"/>
    <w:rsid w:val="008D6863"/>
    <w:rsid w:val="00B86B75"/>
    <w:rsid w:val="00BC48D5"/>
    <w:rsid w:val="00C36279"/>
    <w:rsid w:val="00CB7EFD"/>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E82196E-8A52-44A5-89B7-2F973EA00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0FF"/>
    <w:pPr>
      <w:spacing w:before="120" w:after="120"/>
    </w:pPr>
    <w:rPr>
      <w:rFonts w:ascii="Arial" w:eastAsiaTheme="minorEastAsia" w:hAnsi="Arial"/>
      <w:sz w:val="22"/>
      <w:szCs w:val="20"/>
    </w:rPr>
  </w:style>
  <w:style w:type="paragraph" w:styleId="Heading1">
    <w:name w:val="heading 1"/>
    <w:basedOn w:val="Normal"/>
    <w:next w:val="Normal"/>
    <w:link w:val="Heading1Char"/>
    <w:uiPriority w:val="9"/>
    <w:qFormat/>
    <w:rsid w:val="004D20FF"/>
    <w:pPr>
      <w:pBdr>
        <w:top w:val="single" w:sz="24" w:space="1" w:color="44546A" w:themeColor="text2"/>
        <w:left w:val="single" w:sz="24" w:space="4" w:color="44546A" w:themeColor="text2"/>
        <w:bottom w:val="single" w:sz="24" w:space="1" w:color="44546A" w:themeColor="text2"/>
        <w:right w:val="single" w:sz="24" w:space="4" w:color="44546A" w:themeColor="text2"/>
      </w:pBdr>
      <w:shd w:val="clear" w:color="auto" w:fill="44546A" w:themeFill="text2"/>
      <w:spacing w:after="0"/>
      <w:outlineLvl w:val="0"/>
    </w:pPr>
    <w:rPr>
      <w:b/>
      <w:color w:val="FFFFFF" w:themeColor="background1"/>
      <w:spacing w:val="15"/>
      <w:sz w:val="32"/>
      <w:szCs w:val="22"/>
    </w:rPr>
  </w:style>
  <w:style w:type="paragraph" w:styleId="Heading2">
    <w:name w:val="heading 2"/>
    <w:basedOn w:val="Normal"/>
    <w:next w:val="Normal"/>
    <w:link w:val="Heading2Char"/>
    <w:uiPriority w:val="9"/>
    <w:unhideWhenUsed/>
    <w:qFormat/>
    <w:rsid w:val="004D20FF"/>
    <w:pPr>
      <w:spacing w:after="0"/>
      <w:outlineLvl w:val="1"/>
    </w:pPr>
    <w:rPr>
      <w:b/>
      <w:color w:val="44546A" w:themeColor="text2"/>
      <w:spacing w:val="15"/>
      <w:sz w:val="32"/>
      <w:szCs w:val="32"/>
    </w:rPr>
  </w:style>
  <w:style w:type="paragraph" w:styleId="Heading3">
    <w:name w:val="heading 3"/>
    <w:basedOn w:val="Normal"/>
    <w:next w:val="Normal"/>
    <w:link w:val="Heading3Char"/>
    <w:uiPriority w:val="9"/>
    <w:unhideWhenUsed/>
    <w:qFormat/>
    <w:rsid w:val="004D20FF"/>
    <w:pPr>
      <w:spacing w:before="300" w:after="0"/>
      <w:outlineLvl w:val="2"/>
    </w:pPr>
    <w:rPr>
      <w:b/>
      <w:color w:val="44546A" w:themeColor="text2"/>
      <w:spacing w:val="15"/>
      <w:sz w:val="28"/>
    </w:rPr>
  </w:style>
  <w:style w:type="paragraph" w:styleId="Heading4">
    <w:name w:val="heading 4"/>
    <w:basedOn w:val="Normal"/>
    <w:next w:val="Normal"/>
    <w:link w:val="Heading4Char"/>
    <w:uiPriority w:val="9"/>
    <w:unhideWhenUsed/>
    <w:qFormat/>
    <w:rsid w:val="004D20FF"/>
    <w:pPr>
      <w:spacing w:before="200" w:after="0"/>
      <w:jc w:val="center"/>
      <w:outlineLvl w:val="3"/>
    </w:pPr>
    <w:rPr>
      <w:b/>
      <w:color w:val="44546A" w:themeColor="text2"/>
      <w:spacing w:val="10"/>
    </w:rPr>
  </w:style>
  <w:style w:type="paragraph" w:styleId="Heading5">
    <w:name w:val="heading 5"/>
    <w:basedOn w:val="Normal"/>
    <w:next w:val="Normal"/>
    <w:link w:val="Heading5Char"/>
    <w:uiPriority w:val="9"/>
    <w:unhideWhenUsed/>
    <w:qFormat/>
    <w:rsid w:val="00812E6C"/>
    <w:pPr>
      <w:keepLines/>
      <w:pageBreakBefore/>
      <w:spacing w:before="0" w:after="160" w:line="20" w:lineRule="exact"/>
      <w:outlineLvl w:val="4"/>
    </w:pPr>
    <w:rPr>
      <w:caps/>
      <w:color w:val="FFFFFF" w:themeColor="background1"/>
      <w:spacing w:val="10"/>
      <w:sz w:val="16"/>
    </w:rPr>
  </w:style>
  <w:style w:type="paragraph" w:styleId="Heading6">
    <w:name w:val="heading 6"/>
    <w:basedOn w:val="Normal"/>
    <w:next w:val="Normal"/>
    <w:link w:val="Heading6Char"/>
    <w:uiPriority w:val="9"/>
    <w:unhideWhenUsed/>
    <w:qFormat/>
    <w:rsid w:val="00B579EF"/>
    <w:pPr>
      <w:pBdr>
        <w:bottom w:val="dotted" w:sz="6" w:space="1" w:color="44546A" w:themeColor="text2"/>
      </w:pBdr>
      <w:spacing w:before="200" w:after="0"/>
      <w:outlineLvl w:val="5"/>
    </w:pPr>
    <w:rPr>
      <w:caps/>
      <w:color w:val="44546A" w:themeColor="text2"/>
      <w:spacing w:val="10"/>
    </w:rPr>
  </w:style>
  <w:style w:type="paragraph" w:styleId="Heading7">
    <w:name w:val="heading 7"/>
    <w:basedOn w:val="Normal"/>
    <w:next w:val="Normal"/>
    <w:link w:val="Heading7Char"/>
    <w:uiPriority w:val="9"/>
    <w:unhideWhenUsed/>
    <w:qFormat/>
    <w:rsid w:val="00B579EF"/>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unhideWhenUsed/>
    <w:qFormat/>
    <w:rsid w:val="00B579EF"/>
    <w:pPr>
      <w:spacing w:before="200" w:after="0"/>
      <w:outlineLvl w:val="7"/>
    </w:pPr>
    <w:rPr>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B7FC4"/>
  </w:style>
  <w:style w:type="paragraph" w:customStyle="1" w:styleId="FirstParagraph">
    <w:name w:val="First Paragraph"/>
    <w:basedOn w:val="BodyText"/>
    <w:next w:val="BodyText"/>
    <w:qFormat/>
  </w:style>
  <w:style w:type="paragraph" w:customStyle="1" w:styleId="Compact">
    <w:name w:val="Compact"/>
    <w:basedOn w:val="BodyText"/>
    <w:qFormat/>
    <w:rsid w:val="00043740"/>
    <w:pPr>
      <w:spacing w:before="36" w:after="36"/>
    </w:pPr>
  </w:style>
  <w:style w:type="paragraph" w:styleId="Title">
    <w:name w:val="Title"/>
    <w:basedOn w:val="Normal"/>
    <w:next w:val="Normal"/>
    <w:link w:val="TitleChar"/>
    <w:uiPriority w:val="10"/>
    <w:qFormat/>
    <w:rsid w:val="00CA03AA"/>
    <w:pPr>
      <w:pBdr>
        <w:top w:val="single" w:sz="4" w:space="1" w:color="auto"/>
        <w:left w:val="single" w:sz="4" w:space="4" w:color="auto"/>
        <w:bottom w:val="single" w:sz="4" w:space="1" w:color="auto"/>
        <w:right w:val="single" w:sz="4" w:space="4" w:color="auto"/>
      </w:pBdr>
      <w:shd w:val="clear" w:color="auto" w:fill="000000" w:themeFill="text1"/>
      <w:spacing w:before="480" w:after="0"/>
      <w:jc w:val="center"/>
    </w:pPr>
    <w:rPr>
      <w:rFonts w:eastAsiaTheme="majorEastAsia" w:cstheme="majorBidi"/>
      <w:b/>
      <w:color w:val="FFFFFF" w:themeColor="background1"/>
      <w:spacing w:val="10"/>
      <w:sz w:val="52"/>
      <w:szCs w:val="52"/>
    </w:rPr>
  </w:style>
  <w:style w:type="paragraph" w:styleId="Subtitle">
    <w:name w:val="Subtitle"/>
    <w:basedOn w:val="Normal"/>
    <w:next w:val="Normal"/>
    <w:link w:val="SubtitleChar"/>
    <w:uiPriority w:val="11"/>
    <w:qFormat/>
    <w:rsid w:val="00B579EF"/>
    <w:pPr>
      <w:spacing w:before="0" w:after="500"/>
    </w:pPr>
    <w:rPr>
      <w:caps/>
      <w:color w:val="595959" w:themeColor="text1" w:themeTint="A6"/>
      <w:spacing w:val="10"/>
      <w:sz w:val="18"/>
      <w:szCs w:val="21"/>
    </w:rPr>
  </w:style>
  <w:style w:type="paragraph" w:customStyle="1" w:styleId="Author">
    <w:name w:val="Author"/>
    <w:basedOn w:val="Normal"/>
    <w:next w:val="BodyText"/>
    <w:qFormat/>
    <w:rsid w:val="00CA03AA"/>
    <w:pPr>
      <w:pBdr>
        <w:top w:val="single" w:sz="8" w:space="1" w:color="A5A5A5" w:themeColor="accent3"/>
        <w:left w:val="single" w:sz="8" w:space="4" w:color="A5A5A5" w:themeColor="accent3"/>
        <w:bottom w:val="single" w:sz="8" w:space="1" w:color="A5A5A5" w:themeColor="accent3"/>
        <w:right w:val="single" w:sz="8" w:space="4" w:color="A5A5A5" w:themeColor="accent3"/>
      </w:pBdr>
      <w:shd w:val="clear" w:color="auto" w:fill="A5A5A5" w:themeFill="accent3"/>
      <w:spacing w:before="240" w:after="0"/>
      <w:contextualSpacing/>
      <w:jc w:val="center"/>
    </w:pPr>
    <w:rPr>
      <w:rFonts w:cs="Arial"/>
      <w:b/>
      <w:color w:val="FFFFFF" w:themeColor="background1"/>
      <w:spacing w:val="10"/>
      <w:szCs w:val="21"/>
    </w:rPr>
  </w:style>
  <w:style w:type="paragraph" w:styleId="Date">
    <w:name w:val="Date"/>
    <w:basedOn w:val="Author"/>
    <w:next w:val="BodyText"/>
    <w:qFormat/>
    <w:rsid w:val="00CA03AA"/>
    <w:pPr>
      <w:spacing w:before="0" w:after="480"/>
    </w:pPr>
    <w:rPr>
      <w:b w:val="0"/>
    </w:rPr>
  </w:style>
  <w:style w:type="paragraph" w:customStyle="1" w:styleId="Abstract">
    <w:name w:val="Abstract"/>
    <w:basedOn w:val="Normal"/>
    <w:next w:val="BodyText"/>
    <w:qFormat/>
    <w:pPr>
      <w:keepNext/>
      <w:keepLines/>
      <w:spacing w:before="300" w:after="300"/>
    </w:pPr>
    <w:rPr>
      <w:sz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B579EF"/>
    <w:rPr>
      <w:rFonts w:ascii="Verdana" w:hAnsi="Verdana"/>
      <w:b/>
      <w:bCs/>
      <w:color w:val="5D5E62"/>
      <w:sz w:val="16"/>
      <w:szCs w:val="16"/>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uiPriority w:val="35"/>
    <w:rPr>
      <w:rFonts w:ascii="Verdana" w:eastAsiaTheme="minorEastAsia" w:hAnsi="Verdana"/>
      <w:b/>
      <w:bCs/>
      <w:color w:val="5D5E62"/>
      <w:sz w:val="16"/>
      <w:szCs w:val="16"/>
    </w:rPr>
  </w:style>
  <w:style w:type="character" w:customStyle="1" w:styleId="VerbatimChar">
    <w:name w:val="Verbatim Char"/>
    <w:basedOn w:val="CaptionChar"/>
    <w:link w:val="SourceCode"/>
    <w:rPr>
      <w:rFonts w:ascii="Consolas" w:eastAsiaTheme="minorEastAsia" w:hAnsi="Consolas"/>
      <w:b/>
      <w:bCs/>
      <w:color w:val="5D5E62"/>
      <w:sz w:val="22"/>
      <w:szCs w:val="16"/>
    </w:rPr>
  </w:style>
  <w:style w:type="character" w:styleId="FootnoteReference">
    <w:name w:val="footnote reference"/>
    <w:basedOn w:val="CaptionChar"/>
    <w:rPr>
      <w:rFonts w:ascii="Verdana" w:eastAsiaTheme="minorEastAsia" w:hAnsi="Verdana"/>
      <w:b/>
      <w:bCs/>
      <w:color w:val="5D5E62"/>
      <w:sz w:val="16"/>
      <w:szCs w:val="16"/>
      <w:vertAlign w:val="superscript"/>
    </w:rPr>
  </w:style>
  <w:style w:type="character" w:styleId="Hyperlink">
    <w:name w:val="Hyperlink"/>
    <w:basedOn w:val="CaptionChar"/>
    <w:qFormat/>
    <w:rsid w:val="00043740"/>
    <w:rPr>
      <w:rFonts w:ascii="Arial" w:eastAsiaTheme="minorEastAsia" w:hAnsi="Arial"/>
      <w:b/>
      <w:bCs/>
      <w:caps w:val="0"/>
      <w:smallCaps/>
      <w:strike w:val="0"/>
      <w:dstrike w:val="0"/>
      <w:vanish w:val="0"/>
      <w:color w:val="44546A" w:themeColor="text2"/>
      <w:sz w:val="20"/>
      <w:szCs w:val="16"/>
      <w:u w:val="none"/>
      <w:vertAlign w:val="baseline"/>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color w:val="2E74B5"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eastAsiaTheme="minorEastAsia" w:hAnsi="Consolas"/>
      <w:b w:val="0"/>
      <w:bCs/>
      <w:color w:val="204A87"/>
      <w:sz w:val="22"/>
      <w:szCs w:val="16"/>
      <w:shd w:val="clear" w:color="auto" w:fill="F8F8F8"/>
    </w:rPr>
  </w:style>
  <w:style w:type="character" w:customStyle="1" w:styleId="DataTypeTok">
    <w:name w:val="DataTypeTok"/>
    <w:basedOn w:val="VerbatimChar"/>
    <w:rPr>
      <w:rFonts w:ascii="Consolas" w:eastAsiaTheme="minorEastAsia" w:hAnsi="Consolas"/>
      <w:b/>
      <w:bCs/>
      <w:color w:val="204A87"/>
      <w:sz w:val="22"/>
      <w:szCs w:val="16"/>
      <w:shd w:val="clear" w:color="auto" w:fill="F8F8F8"/>
    </w:rPr>
  </w:style>
  <w:style w:type="character" w:customStyle="1" w:styleId="DecValTok">
    <w:name w:val="DecValTok"/>
    <w:basedOn w:val="VerbatimChar"/>
    <w:rPr>
      <w:rFonts w:ascii="Consolas" w:eastAsiaTheme="minorEastAsia" w:hAnsi="Consolas"/>
      <w:b/>
      <w:bCs/>
      <w:color w:val="0000CF"/>
      <w:sz w:val="22"/>
      <w:szCs w:val="16"/>
      <w:shd w:val="clear" w:color="auto" w:fill="F8F8F8"/>
    </w:rPr>
  </w:style>
  <w:style w:type="character" w:customStyle="1" w:styleId="BaseNTok">
    <w:name w:val="BaseNTok"/>
    <w:basedOn w:val="VerbatimChar"/>
    <w:rPr>
      <w:rFonts w:ascii="Consolas" w:eastAsiaTheme="minorEastAsia" w:hAnsi="Consolas"/>
      <w:b/>
      <w:bCs/>
      <w:color w:val="0000CF"/>
      <w:sz w:val="22"/>
      <w:szCs w:val="16"/>
      <w:shd w:val="clear" w:color="auto" w:fill="F8F8F8"/>
    </w:rPr>
  </w:style>
  <w:style w:type="character" w:customStyle="1" w:styleId="FloatTok">
    <w:name w:val="FloatTok"/>
    <w:basedOn w:val="VerbatimChar"/>
    <w:rPr>
      <w:rFonts w:ascii="Consolas" w:eastAsiaTheme="minorEastAsia" w:hAnsi="Consolas"/>
      <w:b/>
      <w:bCs/>
      <w:color w:val="0000CF"/>
      <w:sz w:val="22"/>
      <w:szCs w:val="16"/>
      <w:shd w:val="clear" w:color="auto" w:fill="F8F8F8"/>
    </w:rPr>
  </w:style>
  <w:style w:type="character" w:customStyle="1" w:styleId="ConstantTok">
    <w:name w:val="ConstantTok"/>
    <w:basedOn w:val="VerbatimChar"/>
    <w:rPr>
      <w:rFonts w:ascii="Consolas" w:eastAsiaTheme="minorEastAsia" w:hAnsi="Consolas"/>
      <w:b/>
      <w:bCs/>
      <w:color w:val="000000"/>
      <w:sz w:val="22"/>
      <w:szCs w:val="16"/>
      <w:shd w:val="clear" w:color="auto" w:fill="F8F8F8"/>
    </w:rPr>
  </w:style>
  <w:style w:type="character" w:customStyle="1" w:styleId="CharTok">
    <w:name w:val="CharTok"/>
    <w:basedOn w:val="VerbatimChar"/>
    <w:rPr>
      <w:rFonts w:ascii="Consolas" w:eastAsiaTheme="minorEastAsia" w:hAnsi="Consolas"/>
      <w:b/>
      <w:bCs/>
      <w:color w:val="4E9A06"/>
      <w:sz w:val="22"/>
      <w:szCs w:val="16"/>
      <w:shd w:val="clear" w:color="auto" w:fill="F8F8F8"/>
    </w:rPr>
  </w:style>
  <w:style w:type="character" w:customStyle="1" w:styleId="SpecialCharTok">
    <w:name w:val="SpecialCharTok"/>
    <w:basedOn w:val="VerbatimChar"/>
    <w:rPr>
      <w:rFonts w:ascii="Consolas" w:eastAsiaTheme="minorEastAsia" w:hAnsi="Consolas"/>
      <w:b/>
      <w:bCs/>
      <w:color w:val="000000"/>
      <w:sz w:val="22"/>
      <w:szCs w:val="16"/>
      <w:shd w:val="clear" w:color="auto" w:fill="F8F8F8"/>
    </w:rPr>
  </w:style>
  <w:style w:type="character" w:customStyle="1" w:styleId="StringTok">
    <w:name w:val="StringTok"/>
    <w:basedOn w:val="VerbatimChar"/>
    <w:rPr>
      <w:rFonts w:ascii="Consolas" w:eastAsiaTheme="minorEastAsia" w:hAnsi="Consolas"/>
      <w:b/>
      <w:bCs/>
      <w:color w:val="4E9A06"/>
      <w:sz w:val="22"/>
      <w:szCs w:val="16"/>
      <w:shd w:val="clear" w:color="auto" w:fill="F8F8F8"/>
    </w:rPr>
  </w:style>
  <w:style w:type="character" w:customStyle="1" w:styleId="VerbatimStringTok">
    <w:name w:val="VerbatimStringTok"/>
    <w:basedOn w:val="VerbatimChar"/>
    <w:rPr>
      <w:rFonts w:ascii="Consolas" w:eastAsiaTheme="minorEastAsia" w:hAnsi="Consolas"/>
      <w:b/>
      <w:bCs/>
      <w:color w:val="4E9A06"/>
      <w:sz w:val="22"/>
      <w:szCs w:val="16"/>
      <w:shd w:val="clear" w:color="auto" w:fill="F8F8F8"/>
    </w:rPr>
  </w:style>
  <w:style w:type="character" w:customStyle="1" w:styleId="SpecialStringTok">
    <w:name w:val="SpecialStringTok"/>
    <w:basedOn w:val="VerbatimChar"/>
    <w:rPr>
      <w:rFonts w:ascii="Consolas" w:eastAsiaTheme="minorEastAsia" w:hAnsi="Consolas"/>
      <w:b/>
      <w:bCs/>
      <w:color w:val="4E9A06"/>
      <w:sz w:val="22"/>
      <w:szCs w:val="16"/>
      <w:shd w:val="clear" w:color="auto" w:fill="F8F8F8"/>
    </w:rPr>
  </w:style>
  <w:style w:type="character" w:customStyle="1" w:styleId="ImportTok">
    <w:name w:val="ImportTok"/>
    <w:basedOn w:val="VerbatimChar"/>
    <w:rPr>
      <w:rFonts w:ascii="Consolas" w:eastAsiaTheme="minorEastAsia" w:hAnsi="Consolas"/>
      <w:b/>
      <w:bCs/>
      <w:color w:val="5D5E62"/>
      <w:sz w:val="22"/>
      <w:szCs w:val="16"/>
      <w:shd w:val="clear" w:color="auto" w:fill="F8F8F8"/>
    </w:rPr>
  </w:style>
  <w:style w:type="character" w:customStyle="1" w:styleId="CommentTok">
    <w:name w:val="CommentTok"/>
    <w:basedOn w:val="VerbatimChar"/>
    <w:rPr>
      <w:rFonts w:ascii="Consolas" w:eastAsiaTheme="minorEastAsia" w:hAnsi="Consolas"/>
      <w:b/>
      <w:bCs/>
      <w:i/>
      <w:color w:val="8F5902"/>
      <w:sz w:val="22"/>
      <w:szCs w:val="16"/>
      <w:shd w:val="clear" w:color="auto" w:fill="F8F8F8"/>
    </w:rPr>
  </w:style>
  <w:style w:type="character" w:customStyle="1" w:styleId="DocumentationTok">
    <w:name w:val="DocumentationTok"/>
    <w:basedOn w:val="VerbatimChar"/>
    <w:rPr>
      <w:rFonts w:ascii="Consolas" w:eastAsiaTheme="minorEastAsia" w:hAnsi="Consolas"/>
      <w:b w:val="0"/>
      <w:bCs/>
      <w:i/>
      <w:color w:val="8F5902"/>
      <w:sz w:val="22"/>
      <w:szCs w:val="16"/>
      <w:shd w:val="clear" w:color="auto" w:fill="F8F8F8"/>
    </w:rPr>
  </w:style>
  <w:style w:type="character" w:customStyle="1" w:styleId="AnnotationTok">
    <w:name w:val="AnnotationTok"/>
    <w:basedOn w:val="VerbatimChar"/>
    <w:rPr>
      <w:rFonts w:ascii="Consolas" w:eastAsiaTheme="minorEastAsia" w:hAnsi="Consolas"/>
      <w:b w:val="0"/>
      <w:bCs/>
      <w:i/>
      <w:color w:val="8F5902"/>
      <w:sz w:val="22"/>
      <w:szCs w:val="16"/>
      <w:shd w:val="clear" w:color="auto" w:fill="F8F8F8"/>
    </w:rPr>
  </w:style>
  <w:style w:type="character" w:customStyle="1" w:styleId="CommentVarTok">
    <w:name w:val="CommentVarTok"/>
    <w:basedOn w:val="VerbatimChar"/>
    <w:rPr>
      <w:rFonts w:ascii="Consolas" w:eastAsiaTheme="minorEastAsia" w:hAnsi="Consolas"/>
      <w:b w:val="0"/>
      <w:bCs/>
      <w:i/>
      <w:color w:val="8F5902"/>
      <w:sz w:val="22"/>
      <w:szCs w:val="16"/>
      <w:shd w:val="clear" w:color="auto" w:fill="F8F8F8"/>
    </w:rPr>
  </w:style>
  <w:style w:type="character" w:customStyle="1" w:styleId="OtherTok">
    <w:name w:val="OtherTok"/>
    <w:basedOn w:val="VerbatimChar"/>
    <w:rPr>
      <w:rFonts w:ascii="Consolas" w:eastAsiaTheme="minorEastAsia" w:hAnsi="Consolas"/>
      <w:b/>
      <w:bCs/>
      <w:color w:val="8F5902"/>
      <w:sz w:val="22"/>
      <w:szCs w:val="16"/>
      <w:shd w:val="clear" w:color="auto" w:fill="F8F8F8"/>
    </w:rPr>
  </w:style>
  <w:style w:type="character" w:customStyle="1" w:styleId="FunctionTok">
    <w:name w:val="FunctionTok"/>
    <w:basedOn w:val="VerbatimChar"/>
    <w:rPr>
      <w:rFonts w:ascii="Consolas" w:eastAsiaTheme="minorEastAsia" w:hAnsi="Consolas"/>
      <w:b/>
      <w:bCs/>
      <w:color w:val="000000"/>
      <w:sz w:val="22"/>
      <w:szCs w:val="16"/>
      <w:shd w:val="clear" w:color="auto" w:fill="F8F8F8"/>
    </w:rPr>
  </w:style>
  <w:style w:type="character" w:customStyle="1" w:styleId="VariableTok">
    <w:name w:val="VariableTok"/>
    <w:basedOn w:val="VerbatimChar"/>
    <w:rPr>
      <w:rFonts w:ascii="Consolas" w:eastAsiaTheme="minorEastAsia" w:hAnsi="Consolas"/>
      <w:b/>
      <w:bCs/>
      <w:color w:val="000000"/>
      <w:sz w:val="22"/>
      <w:szCs w:val="16"/>
      <w:shd w:val="clear" w:color="auto" w:fill="F8F8F8"/>
    </w:rPr>
  </w:style>
  <w:style w:type="character" w:customStyle="1" w:styleId="ControlFlowTok">
    <w:name w:val="ControlFlowTok"/>
    <w:basedOn w:val="VerbatimChar"/>
    <w:rPr>
      <w:rFonts w:ascii="Consolas" w:eastAsiaTheme="minorEastAsia" w:hAnsi="Consolas"/>
      <w:b w:val="0"/>
      <w:bCs/>
      <w:color w:val="204A87"/>
      <w:sz w:val="22"/>
      <w:szCs w:val="16"/>
      <w:shd w:val="clear" w:color="auto" w:fill="F8F8F8"/>
    </w:rPr>
  </w:style>
  <w:style w:type="character" w:customStyle="1" w:styleId="OperatorTok">
    <w:name w:val="OperatorTok"/>
    <w:basedOn w:val="VerbatimChar"/>
    <w:rPr>
      <w:rFonts w:ascii="Consolas" w:eastAsiaTheme="minorEastAsia" w:hAnsi="Consolas"/>
      <w:b w:val="0"/>
      <w:bCs/>
      <w:color w:val="CE5C00"/>
      <w:sz w:val="22"/>
      <w:szCs w:val="16"/>
      <w:shd w:val="clear" w:color="auto" w:fill="F8F8F8"/>
    </w:rPr>
  </w:style>
  <w:style w:type="character" w:customStyle="1" w:styleId="BuiltInTok">
    <w:name w:val="BuiltInTok"/>
    <w:basedOn w:val="VerbatimChar"/>
    <w:rPr>
      <w:rFonts w:ascii="Consolas" w:eastAsiaTheme="minorEastAsia" w:hAnsi="Consolas"/>
      <w:b/>
      <w:bCs/>
      <w:color w:val="5D5E62"/>
      <w:sz w:val="22"/>
      <w:szCs w:val="16"/>
      <w:shd w:val="clear" w:color="auto" w:fill="F8F8F8"/>
    </w:rPr>
  </w:style>
  <w:style w:type="character" w:customStyle="1" w:styleId="ExtensionTok">
    <w:name w:val="ExtensionTok"/>
    <w:basedOn w:val="VerbatimChar"/>
    <w:rPr>
      <w:rFonts w:ascii="Consolas" w:eastAsiaTheme="minorEastAsia" w:hAnsi="Consolas"/>
      <w:b/>
      <w:bCs/>
      <w:color w:val="5D5E62"/>
      <w:sz w:val="22"/>
      <w:szCs w:val="16"/>
      <w:shd w:val="clear" w:color="auto" w:fill="F8F8F8"/>
    </w:rPr>
  </w:style>
  <w:style w:type="character" w:customStyle="1" w:styleId="PreprocessorTok">
    <w:name w:val="PreprocessorTok"/>
    <w:basedOn w:val="VerbatimChar"/>
    <w:rPr>
      <w:rFonts w:ascii="Consolas" w:eastAsiaTheme="minorEastAsia" w:hAnsi="Consolas"/>
      <w:b/>
      <w:bCs/>
      <w:i/>
      <w:color w:val="8F5902"/>
      <w:sz w:val="22"/>
      <w:szCs w:val="16"/>
      <w:shd w:val="clear" w:color="auto" w:fill="F8F8F8"/>
    </w:rPr>
  </w:style>
  <w:style w:type="character" w:customStyle="1" w:styleId="AttributeTok">
    <w:name w:val="AttributeTok"/>
    <w:basedOn w:val="VerbatimChar"/>
    <w:rPr>
      <w:rFonts w:ascii="Consolas" w:eastAsiaTheme="minorEastAsia" w:hAnsi="Consolas"/>
      <w:b/>
      <w:bCs/>
      <w:color w:val="C4A000"/>
      <w:sz w:val="22"/>
      <w:szCs w:val="16"/>
      <w:shd w:val="clear" w:color="auto" w:fill="F8F8F8"/>
    </w:rPr>
  </w:style>
  <w:style w:type="character" w:customStyle="1" w:styleId="RegionMarkerTok">
    <w:name w:val="RegionMarkerTok"/>
    <w:basedOn w:val="VerbatimChar"/>
    <w:rPr>
      <w:rFonts w:ascii="Consolas" w:eastAsiaTheme="minorEastAsia" w:hAnsi="Consolas"/>
      <w:b/>
      <w:bCs/>
      <w:color w:val="5D5E62"/>
      <w:sz w:val="22"/>
      <w:szCs w:val="16"/>
      <w:shd w:val="clear" w:color="auto" w:fill="F8F8F8"/>
    </w:rPr>
  </w:style>
  <w:style w:type="character" w:customStyle="1" w:styleId="InformationTok">
    <w:name w:val="InformationTok"/>
    <w:basedOn w:val="VerbatimChar"/>
    <w:rPr>
      <w:rFonts w:ascii="Consolas" w:eastAsiaTheme="minorEastAsia" w:hAnsi="Consolas"/>
      <w:b w:val="0"/>
      <w:bCs/>
      <w:i/>
      <w:color w:val="8F5902"/>
      <w:sz w:val="22"/>
      <w:szCs w:val="16"/>
      <w:shd w:val="clear" w:color="auto" w:fill="F8F8F8"/>
    </w:rPr>
  </w:style>
  <w:style w:type="character" w:customStyle="1" w:styleId="WarningTok">
    <w:name w:val="WarningTok"/>
    <w:basedOn w:val="VerbatimChar"/>
    <w:rPr>
      <w:rFonts w:ascii="Consolas" w:eastAsiaTheme="minorEastAsia" w:hAnsi="Consolas"/>
      <w:b w:val="0"/>
      <w:bCs/>
      <w:i/>
      <w:color w:val="8F5902"/>
      <w:sz w:val="22"/>
      <w:szCs w:val="16"/>
      <w:shd w:val="clear" w:color="auto" w:fill="F8F8F8"/>
    </w:rPr>
  </w:style>
  <w:style w:type="character" w:customStyle="1" w:styleId="AlertTok">
    <w:name w:val="AlertTok"/>
    <w:basedOn w:val="VerbatimChar"/>
    <w:rPr>
      <w:rFonts w:ascii="Consolas" w:eastAsiaTheme="minorEastAsia" w:hAnsi="Consolas"/>
      <w:b/>
      <w:bCs/>
      <w:color w:val="EF2929"/>
      <w:sz w:val="22"/>
      <w:szCs w:val="16"/>
      <w:shd w:val="clear" w:color="auto" w:fill="F8F8F8"/>
    </w:rPr>
  </w:style>
  <w:style w:type="character" w:customStyle="1" w:styleId="ErrorTok">
    <w:name w:val="ErrorTok"/>
    <w:basedOn w:val="VerbatimChar"/>
    <w:rPr>
      <w:rFonts w:ascii="Consolas" w:eastAsiaTheme="minorEastAsia" w:hAnsi="Consolas"/>
      <w:b w:val="0"/>
      <w:bCs/>
      <w:color w:val="A40000"/>
      <w:sz w:val="22"/>
      <w:szCs w:val="16"/>
      <w:shd w:val="clear" w:color="auto" w:fill="F8F8F8"/>
    </w:rPr>
  </w:style>
  <w:style w:type="character" w:customStyle="1" w:styleId="NormalTok">
    <w:name w:val="NormalTok"/>
    <w:basedOn w:val="VerbatimChar"/>
    <w:rPr>
      <w:rFonts w:ascii="Consolas" w:eastAsiaTheme="minorEastAsia" w:hAnsi="Consolas"/>
      <w:b/>
      <w:bCs/>
      <w:color w:val="5D5E62"/>
      <w:sz w:val="22"/>
      <w:szCs w:val="16"/>
      <w:shd w:val="clear" w:color="auto" w:fill="F8F8F8"/>
    </w:rPr>
  </w:style>
  <w:style w:type="paragraph" w:styleId="Header">
    <w:name w:val="header"/>
    <w:basedOn w:val="Normal"/>
    <w:link w:val="HeaderChar"/>
    <w:unhideWhenUsed/>
    <w:rsid w:val="00571792"/>
    <w:pPr>
      <w:tabs>
        <w:tab w:val="center" w:pos="4680"/>
        <w:tab w:val="right" w:pos="9360"/>
      </w:tabs>
      <w:spacing w:after="0"/>
    </w:pPr>
  </w:style>
  <w:style w:type="character" w:customStyle="1" w:styleId="HeaderChar">
    <w:name w:val="Header Char"/>
    <w:basedOn w:val="DefaultParagraphFont"/>
    <w:link w:val="Header"/>
    <w:rsid w:val="00571792"/>
  </w:style>
  <w:style w:type="paragraph" w:styleId="Footer">
    <w:name w:val="footer"/>
    <w:basedOn w:val="Normal"/>
    <w:link w:val="FooterChar"/>
    <w:unhideWhenUsed/>
    <w:rsid w:val="00571792"/>
    <w:pPr>
      <w:tabs>
        <w:tab w:val="center" w:pos="4680"/>
        <w:tab w:val="right" w:pos="9360"/>
      </w:tabs>
      <w:spacing w:after="0"/>
    </w:pPr>
  </w:style>
  <w:style w:type="character" w:customStyle="1" w:styleId="FooterChar">
    <w:name w:val="Footer Char"/>
    <w:basedOn w:val="DefaultParagraphFont"/>
    <w:link w:val="Footer"/>
    <w:rsid w:val="00571792"/>
  </w:style>
  <w:style w:type="character" w:customStyle="1" w:styleId="BodyTextChar">
    <w:name w:val="Body Text Char"/>
    <w:basedOn w:val="DefaultParagraphFont"/>
    <w:link w:val="BodyText"/>
    <w:uiPriority w:val="1"/>
    <w:rsid w:val="00FB7FC4"/>
    <w:rPr>
      <w:rFonts w:ascii="Arial" w:eastAsiaTheme="minorEastAsia" w:hAnsi="Arial"/>
      <w:sz w:val="22"/>
      <w:szCs w:val="20"/>
    </w:rPr>
  </w:style>
  <w:style w:type="character" w:customStyle="1" w:styleId="Heading1Char">
    <w:name w:val="Heading 1 Char"/>
    <w:basedOn w:val="DefaultParagraphFont"/>
    <w:link w:val="Heading1"/>
    <w:uiPriority w:val="9"/>
    <w:rsid w:val="004D20FF"/>
    <w:rPr>
      <w:rFonts w:ascii="Arial" w:eastAsiaTheme="minorEastAsia" w:hAnsi="Arial"/>
      <w:b/>
      <w:color w:val="FFFFFF" w:themeColor="background1"/>
      <w:spacing w:val="15"/>
      <w:sz w:val="32"/>
      <w:szCs w:val="22"/>
      <w:shd w:val="clear" w:color="auto" w:fill="44546A" w:themeFill="text2"/>
    </w:rPr>
  </w:style>
  <w:style w:type="character" w:customStyle="1" w:styleId="Heading2Char">
    <w:name w:val="Heading 2 Char"/>
    <w:basedOn w:val="DefaultParagraphFont"/>
    <w:link w:val="Heading2"/>
    <w:uiPriority w:val="9"/>
    <w:rsid w:val="004D20FF"/>
    <w:rPr>
      <w:rFonts w:ascii="Arial" w:eastAsiaTheme="minorEastAsia" w:hAnsi="Arial"/>
      <w:b/>
      <w:color w:val="44546A" w:themeColor="text2"/>
      <w:spacing w:val="15"/>
      <w:sz w:val="32"/>
      <w:szCs w:val="32"/>
    </w:rPr>
  </w:style>
  <w:style w:type="character" w:customStyle="1" w:styleId="Heading3Char">
    <w:name w:val="Heading 3 Char"/>
    <w:basedOn w:val="DefaultParagraphFont"/>
    <w:link w:val="Heading3"/>
    <w:uiPriority w:val="9"/>
    <w:rsid w:val="004D20FF"/>
    <w:rPr>
      <w:rFonts w:ascii="Arial" w:eastAsiaTheme="minorEastAsia" w:hAnsi="Arial"/>
      <w:b/>
      <w:color w:val="44546A" w:themeColor="text2"/>
      <w:spacing w:val="15"/>
      <w:sz w:val="28"/>
      <w:szCs w:val="20"/>
    </w:rPr>
  </w:style>
  <w:style w:type="character" w:customStyle="1" w:styleId="Heading4Char">
    <w:name w:val="Heading 4 Char"/>
    <w:basedOn w:val="DefaultParagraphFont"/>
    <w:link w:val="Heading4"/>
    <w:uiPriority w:val="9"/>
    <w:rsid w:val="004D20FF"/>
    <w:rPr>
      <w:rFonts w:ascii="Arial" w:eastAsiaTheme="minorEastAsia" w:hAnsi="Arial"/>
      <w:b/>
      <w:color w:val="44546A" w:themeColor="text2"/>
      <w:spacing w:val="10"/>
      <w:sz w:val="22"/>
      <w:szCs w:val="20"/>
    </w:rPr>
  </w:style>
  <w:style w:type="character" w:customStyle="1" w:styleId="Heading5Char">
    <w:name w:val="Heading 5 Char"/>
    <w:basedOn w:val="DefaultParagraphFont"/>
    <w:link w:val="Heading5"/>
    <w:uiPriority w:val="9"/>
    <w:rsid w:val="00812E6C"/>
    <w:rPr>
      <w:rFonts w:ascii="Arial" w:eastAsiaTheme="minorEastAsia" w:hAnsi="Arial"/>
      <w:caps/>
      <w:color w:val="FFFFFF" w:themeColor="background1"/>
      <w:spacing w:val="10"/>
      <w:sz w:val="16"/>
      <w:szCs w:val="20"/>
    </w:rPr>
  </w:style>
  <w:style w:type="character" w:customStyle="1" w:styleId="Heading6Char">
    <w:name w:val="Heading 6 Char"/>
    <w:basedOn w:val="DefaultParagraphFont"/>
    <w:link w:val="Heading6"/>
    <w:uiPriority w:val="9"/>
    <w:rsid w:val="00B579EF"/>
    <w:rPr>
      <w:rFonts w:ascii="Arial" w:eastAsiaTheme="minorEastAsia" w:hAnsi="Arial"/>
      <w:caps/>
      <w:color w:val="44546A" w:themeColor="text2"/>
      <w:spacing w:val="10"/>
      <w:sz w:val="22"/>
      <w:szCs w:val="20"/>
    </w:rPr>
  </w:style>
  <w:style w:type="character" w:customStyle="1" w:styleId="Heading7Char">
    <w:name w:val="Heading 7 Char"/>
    <w:basedOn w:val="DefaultParagraphFont"/>
    <w:link w:val="Heading7"/>
    <w:uiPriority w:val="9"/>
    <w:rsid w:val="00B579EF"/>
    <w:rPr>
      <w:rFonts w:ascii="Arial" w:eastAsiaTheme="minorEastAsia" w:hAnsi="Arial"/>
      <w:caps/>
      <w:color w:val="2E74B5" w:themeColor="accent1" w:themeShade="BF"/>
      <w:spacing w:val="10"/>
      <w:sz w:val="22"/>
      <w:szCs w:val="20"/>
    </w:rPr>
  </w:style>
  <w:style w:type="character" w:customStyle="1" w:styleId="Heading8Char">
    <w:name w:val="Heading 8 Char"/>
    <w:basedOn w:val="DefaultParagraphFont"/>
    <w:link w:val="Heading8"/>
    <w:uiPriority w:val="9"/>
    <w:rsid w:val="00B579EF"/>
    <w:rPr>
      <w:rFonts w:ascii="Arial" w:eastAsiaTheme="minorEastAsia" w:hAnsi="Arial"/>
      <w:caps/>
      <w:spacing w:val="10"/>
      <w:sz w:val="18"/>
      <w:szCs w:val="18"/>
    </w:rPr>
  </w:style>
  <w:style w:type="character" w:customStyle="1" w:styleId="TitleChar">
    <w:name w:val="Title Char"/>
    <w:basedOn w:val="DefaultParagraphFont"/>
    <w:link w:val="Title"/>
    <w:uiPriority w:val="10"/>
    <w:rsid w:val="00CA03AA"/>
    <w:rPr>
      <w:rFonts w:ascii="Arial" w:eastAsiaTheme="majorEastAsia" w:hAnsi="Arial" w:cstheme="majorBidi"/>
      <w:b/>
      <w:color w:val="FFFFFF" w:themeColor="background1"/>
      <w:spacing w:val="10"/>
      <w:sz w:val="52"/>
      <w:szCs w:val="52"/>
      <w:shd w:val="clear" w:color="auto" w:fill="000000" w:themeFill="text1"/>
    </w:rPr>
  </w:style>
  <w:style w:type="character" w:customStyle="1" w:styleId="SubtitleChar">
    <w:name w:val="Subtitle Char"/>
    <w:basedOn w:val="DefaultParagraphFont"/>
    <w:link w:val="Subtitle"/>
    <w:uiPriority w:val="11"/>
    <w:rsid w:val="00B579EF"/>
    <w:rPr>
      <w:rFonts w:ascii="Arial" w:eastAsiaTheme="minorEastAsia" w:hAnsi="Arial"/>
      <w:caps/>
      <w:color w:val="595959" w:themeColor="text1" w:themeTint="A6"/>
      <w:spacing w:val="10"/>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rstudio.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hyperlink" Target="http://warrenchd.com/document-category/assessment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R-project.or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DustinRatliff/AnnualUpdat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89BD46-C6FB-4261-8EC3-80790D22DB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2100</Words>
  <Characters>11972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Warren County Community Health Assessment 2017 Update</vt:lpstr>
    </vt:vector>
  </TitlesOfParts>
  <Company/>
  <LinksUpToDate>false</LinksUpToDate>
  <CharactersWithSpaces>14044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Warren County Community Health Assessment 2017 Update</dc:title>
  <dc:creator>Prepared by the Warren County Health District</dc:creator>
  <cp:keywords/>
  <cp:lastModifiedBy>Dustin Ratliff</cp:lastModifiedBy>
  <cp:revision>2</cp:revision>
  <dcterms:created xsi:type="dcterms:W3CDTF">2018-09-26T20:12:00Z</dcterms:created>
  <dcterms:modified xsi:type="dcterms:W3CDTF">2018-09-26T20:12:00Z</dcterms:modified>
</cp:coreProperties>
</file>