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A5F"/>
          <w:sz w:val="56"/>
          <w:szCs w:val="56"/>
        </w:rPr>
        <w:t xml:space="preserve">THE SIGNAL FANTASY</w:t>
      </w:r>
    </w:p>
    <w:p>
      <w:pPr>
        <w:spacing w:after="120"/>
        <w:jc w:val="center"/>
      </w:pPr>
      <w:r>
        <w:rPr>
          <w:i/>
          <w:iCs/>
          <w:color w:val="555555"/>
          <w:sz w:val="28"/>
          <w:szCs w:val="28"/>
        </w:rPr>
        <w:t xml:space="preserve">Methodology White Paper — Version 2</w:t>
      </w:r>
    </w:p>
    <w:p>
      <w:pPr>
        <w:spacing w:after="480"/>
        <w:jc w:val="center"/>
      </w:pPr>
      <w:r>
        <w:rPr>
          <w:color w:val="333333"/>
          <w:sz w:val="22"/>
          <w:szCs w:val="22"/>
        </w:rPr>
        <w:t xml:space="preserve">A Statcast-Powered Luck Detection Framework, Category Breadth Trade Architecture, and Mid-Season Calibration System for Fantasy Baseball</w:t>
      </w:r>
    </w:p>
    <w:p>
      <w:pPr>
        <w:spacing w:after="240"/>
        <w:jc w:val="center"/>
      </w:pPr>
      <w:r>
        <w:rPr>
          <w:color w:val="777777"/>
          <w:sz w:val="18"/>
          <w:szCs w:val="18"/>
        </w:rPr>
        <w:t xml:space="preserve">Published: May 2026  |  signalfantasy.substack.com  |  © 2026 The Signal Fantasy</w:t>
      </w:r>
    </w:p>
    <w:p>
      <w:pPr>
        <w:spacing w:after="800"/>
        <w:jc w:val="center"/>
      </w:pPr>
      <w:r>
        <w:rPr>
          <w:i/>
          <w:iCs/>
          <w:color w:val="999999"/>
          <w:sz w:val="16"/>
          <w:szCs w:val="16"/>
        </w:rPr>
        <w:t xml:space="preserve">First publication: April 22, 2026. Version 2 published May 17, 2026. Business Source License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91.9%</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90.5%</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87.7%</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82.0%</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Hitter Train Accuracy</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Hitter OOS 2025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Pitcher Pooled</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Pitcher OOS 2025</w:t>
            </w:r>
          </w:p>
        </w:tc>
      </w:tr>
    </w:tbl>
    <w:p>
      <w:pPr>
        <w:spacing w:after="400" w:before="200"/>
        <w:jc w:val="center"/>
      </w:pPr>
      <w:r>
        <w:rPr>
          <w:i/>
          <w:iCs/>
          <w:color w:val="1F3A5F"/>
          <w:sz w:val="20"/>
          <w:szCs w:val="20"/>
        </w:rPr>
        <w:t xml:space="preserve">Live 2026 Track Record: 88.6% Buy Low / 88.0% Sell High on resolved calls</w:t>
      </w:r>
    </w:p>
    <w:p>
      <w:r>
        <w:br w:type="page"/>
      </w:r>
    </w:p>
    <w:p>
      <w:pPr>
        <w:pStyle w:val="Heading1"/>
        <w:spacing w:after="200" w:before="360"/>
      </w:pPr>
      <w:r>
        <w:rPr>
          <w:b/>
          <w:bCs/>
          <w:color w:val="1F3A5F"/>
          <w:sz w:val="32"/>
          <w:szCs w:val="32"/>
        </w:rPr>
        <w:t xml:space="preserve">What's New in Version 2</w:t>
      </w:r>
    </w:p>
    <w:p>
      <w:pPr>
        <w:spacing w:after="160"/>
        <w:jc w:val="left"/>
      </w:pPr>
      <w:r>
        <w:rPr>
          <w:b w:val="false"/>
          <w:bCs w:val="false"/>
          <w:i w:val="false"/>
          <w:iCs w:val="false"/>
          <w:color w:val="000000"/>
          <w:sz w:val="22"/>
          <w:szCs w:val="22"/>
        </w:rPr>
        <w:t xml:space="preserve">Version 1 of this paper, published April 22, 2026, documented the seven-layer luck detection model and four years of backtest validation. The framework was sound. What it didn't yet contain was a credible trade valuation system, mid-season calibration, or pedigree-aware projection handling. Version 2 adds all three.</w:t>
      </w:r>
    </w:p>
    <w:p>
      <w:pPr>
        <w:spacing w:after="160"/>
        <w:jc w:val="left"/>
      </w:pPr>
      <w:r>
        <w:rPr>
          <w:b w:val="false"/>
          <w:bCs w:val="false"/>
          <w:i w:val="false"/>
          <w:iCs w:val="false"/>
          <w:color w:val="000000"/>
          <w:sz w:val="22"/>
          <w:szCs w:val="22"/>
        </w:rPr>
        <w:t xml:space="preserve">This update was driven by a single observation during beta development: the luck model identified signals with 91.4% accuracy, but the trade tool built on top of it was producing recommendations that would not survive contact with the fantasy community. Trading Aaron Judge for Freddie Freeman read as 'Slightly Favorable.' Bobby Witt Jr. ranked behind Freeman in surplus value. A 39-HR season was buried under positional pool compression. These were not luck model failures — they were architectural failures in how raw projections translated into roto value.</w:t>
      </w:r>
    </w:p>
    <w:p>
      <w:pPr>
        <w:spacing w:after="160"/>
        <w:jc w:val="left"/>
      </w:pPr>
      <w:r>
        <w:rPr>
          <w:b w:val="false"/>
          <w:bCs w:val="false"/>
          <w:i w:val="false"/>
          <w:iCs w:val="false"/>
          <w:color w:val="000000"/>
          <w:sz w:val="22"/>
          <w:szCs w:val="22"/>
        </w:rPr>
        <w:t xml:space="preserve">Version 2 documents the rebuild. New material in this paper:</w:t>
      </w:r>
    </w:p>
    <w:p>
      <w:pPr>
        <w:pStyle w:val="ListParagraph"/>
        <w:numPr>
          <w:ilvl w:val="0"/>
          <w:numId w:val="2"/>
        </w:numPr>
        <w:spacing w:after="80"/>
      </w:pPr>
      <w:r>
        <w:rPr>
          <w:sz w:val="22"/>
          <w:szCs w:val="22"/>
        </w:rPr>
        <w:t xml:space="preserve">Category Breadth Architecture (Section 9) — replaces position-pool ranking with a global stat-floor framework that rewards multi-category contribution</w:t>
      </w:r>
    </w:p>
    <w:p>
      <w:pPr>
        <w:pStyle w:val="ListParagraph"/>
        <w:numPr>
          <w:ilvl w:val="0"/>
          <w:numId w:val="2"/>
        </w:numPr>
        <w:spacing w:after="80"/>
      </w:pPr>
      <w:r>
        <w:rPr>
          <w:sz w:val="22"/>
          <w:szCs w:val="22"/>
        </w:rPr>
        <w:t xml:space="preserve">Mid-Season Calibration System (Section 10) — automatic ROS projection scaling and threshold adjustment as the season progresses</w:t>
      </w:r>
    </w:p>
    <w:p>
      <w:pPr>
        <w:pStyle w:val="ListParagraph"/>
        <w:numPr>
          <w:ilvl w:val="0"/>
          <w:numId w:val="2"/>
        </w:numPr>
        <w:spacing w:after="80"/>
      </w:pPr>
      <w:r>
        <w:rPr>
          <w:sz w:val="22"/>
          <w:szCs w:val="22"/>
        </w:rPr>
        <w:t xml:space="preserve">Pedigree Override Layer (Section 11) — addresses corrupted early-season projections for elite players via career-blend anchoring</w:t>
      </w:r>
    </w:p>
    <w:p>
      <w:pPr>
        <w:pStyle w:val="ListParagraph"/>
        <w:numPr>
          <w:ilvl w:val="0"/>
          <w:numId w:val="2"/>
        </w:numPr>
        <w:spacing w:after="80"/>
      </w:pPr>
      <w:r>
        <w:rPr>
          <w:sz w:val="22"/>
          <w:szCs w:val="22"/>
        </w:rPr>
        <w:t xml:space="preserve">Trade Analyzer Refinements (Section 12) — superstar irreplaceability flag, replacement-level penalties for unequal player counts, position-aware scarcity multipliers</w:t>
      </w:r>
    </w:p>
    <w:p>
      <w:pPr>
        <w:pStyle w:val="ListParagraph"/>
        <w:numPr>
          <w:ilvl w:val="0"/>
          <w:numId w:val="2"/>
        </w:numPr>
        <w:spacing w:after="80"/>
      </w:pPr>
      <w:r>
        <w:rPr>
          <w:sz w:val="22"/>
          <w:szCs w:val="22"/>
        </w:rPr>
        <w:t xml:space="preserve">Beta Program and Distribution Framework (Section 13) — Substack growth model, content cadence strategy, BUSL licensing</w:t>
      </w:r>
    </w:p>
    <w:p>
      <w:pPr>
        <w:pStyle w:val="ListParagraph"/>
        <w:numPr>
          <w:ilvl w:val="0"/>
          <w:numId w:val="2"/>
        </w:numPr>
        <w:spacing w:after="80"/>
      </w:pPr>
      <w:r>
        <w:rPr>
          <w:sz w:val="22"/>
          <w:szCs w:val="22"/>
        </w:rPr>
        <w:t xml:space="preserve">Methodology Lessons (Section 14) — the failed approaches and architectural dead-ends that produced the current design</w:t>
      </w:r>
    </w:p>
    <w:p>
      <w:pPr>
        <w:spacing w:after="160"/>
        <w:jc w:val="left"/>
      </w:pPr>
      <w:r>
        <w:rPr>
          <w:b w:val="false"/>
          <w:bCs w:val="false"/>
          <w:i w:val="false"/>
          <w:iCs w:val="false"/>
          <w:color w:val="000000"/>
          <w:sz w:val="22"/>
          <w:szCs w:val="22"/>
        </w:rPr>
        <w:t xml:space="preserve">The luck detection model itself (Sections 3–8) is unchanged from Version 1. The hitter model still runs at 91.9% training accuracy and 90.5% out-of-sample. The pitcher model still runs at 87.7% pooled and 82.0% OOS. These results have held across continued live tracking.</w:t>
      </w:r>
    </w:p>
    <w:p>
      <w:r>
        <w:br w:type="page"/>
      </w:r>
    </w:p>
    <w:p>
      <w:pPr>
        <w:pStyle w:val="Heading1"/>
        <w:spacing w:after="200" w:before="360"/>
      </w:pPr>
      <w:r>
        <w:rPr>
          <w:b/>
          <w:bCs/>
          <w:color w:val="1F3A5F"/>
          <w:sz w:val="32"/>
          <w:szCs w:val="32"/>
        </w:rPr>
        <w:t xml:space="preserve">1. Abstract</w:t>
      </w:r>
    </w:p>
    <w:p>
      <w:pPr>
        <w:spacing w:after="160"/>
        <w:jc w:val="left"/>
      </w:pPr>
      <w:r>
        <w:rPr>
          <w:b w:val="false"/>
          <w:bCs w:val="false"/>
          <w:i w:val="false"/>
          <w:iCs w:val="false"/>
          <w:color w:val="000000"/>
          <w:sz w:val="22"/>
          <w:szCs w:val="22"/>
        </w:rPr>
        <w:t xml:space="preserve">The Signal Fantasy is a Statcast-powered fantasy baseball analytics platform that combines luck detection signals, category-breadth trade valuation, and pedigree-aware projection handling into a single decision framework for fantasy managers.</w:t>
      </w:r>
    </w:p>
    <w:p>
      <w:pPr>
        <w:spacing w:after="160"/>
        <w:jc w:val="left"/>
      </w:pPr>
      <w:r>
        <w:rPr>
          <w:b w:val="false"/>
          <w:bCs w:val="false"/>
          <w:i w:val="false"/>
          <w:iCs w:val="false"/>
          <w:color w:val="000000"/>
          <w:sz w:val="22"/>
          <w:szCs w:val="22"/>
        </w:rPr>
        <w:t xml:space="preserve">The core luck model uses seven independent signal layers to detect when a player's results are meaningfully luckier or unluckier than their underlying contact quality. Across four MLB seasons (2022–2025) and 305 player-seasons, the model achieves 91.9% training accuracy and 90.5% out-of-sample accuracy on the 2025 season — a true holdout the model never trained on. The pitcher model achieves 87.7% pooled accuracy and 82.0% out-of-sample.</w:t>
      </w:r>
    </w:p>
    <w:p>
      <w:pPr>
        <w:spacing w:after="160"/>
        <w:jc w:val="left"/>
      </w:pPr>
      <w:r>
        <w:rPr>
          <w:b w:val="false"/>
          <w:bCs w:val="false"/>
          <w:i w:val="false"/>
          <w:iCs w:val="false"/>
          <w:color w:val="000000"/>
          <w:sz w:val="22"/>
          <w:szCs w:val="22"/>
        </w:rPr>
        <w:t xml:space="preserve">Building on this signal layer, Version 2 introduces a trade valuation system that replaces position-pool ranking with a Category Breadth Architecture. The breadth model recognizes that roto value compounds across categories — a player contributing across all five hitting categories provides exponentially more value than a one-category specialist with equivalent raw production. Combined with pedigree-aware projection overrides and automatic ROS scaling, the trade tool produces recommendations that align with expert consensus while surfacing genuine market inefficiencies.</w:t>
      </w:r>
    </w:p>
    <w:p>
      <w:pPr>
        <w:spacing w:after="160"/>
        <w:jc w:val="left"/>
      </w:pPr>
      <w:r>
        <w:rPr>
          <w:b/>
          <w:bCs/>
          <w:i w:val="false"/>
          <w:iCs w:val="false"/>
          <w:color w:val="000000"/>
          <w:sz w:val="22"/>
          <w:szCs w:val="22"/>
        </w:rPr>
        <w:t xml:space="preserve">Key Version 2 results: </w:t>
      </w:r>
      <w:r>
        <w:rPr>
          <w:b w:val="false"/>
          <w:bCs w:val="false"/>
          <w:i/>
          <w:iCs/>
          <w:color w:val="000000"/>
          <w:sz w:val="22"/>
          <w:szCs w:val="22"/>
        </w:rPr>
        <w:t xml:space="preserve">(1) Trade valuations now correctly identify Aaron Judge, Bobby Witt Jr., Shohei Ohtani, and José Ramírez as the top-tier roto assets, matching FantasyPros expert consensus within rank-order tolerance. (2) Mid-season ROS scaling automatically adjusts projections and thresholds based on remaining season fraction with no manual recalibration. (3) The pedigree override system corrected projection distortions for elite players (Ramírez, Soto, Carroll) experiencing slow starts, restoring them to defensible rankings without overriding the underlying model.</w:t>
      </w:r>
    </w:p>
    <w:p>
      <w:pPr>
        <w:pBdr>
          <w:bottom w:val="single" w:color="1F3A5F" w:sz="6" w:space="1"/>
        </w:pBdr>
        <w:spacing w:after="240"/>
      </w:pPr>
    </w:p>
    <w:p>
      <w:pPr>
        <w:pStyle w:val="Heading1"/>
        <w:spacing w:after="200" w:before="360"/>
      </w:pPr>
      <w:r>
        <w:rPr>
          <w:b/>
          <w:bCs/>
          <w:color w:val="1F3A5F"/>
          <w:sz w:val="32"/>
          <w:szCs w:val="32"/>
        </w:rPr>
        <w:t xml:space="preserve">2. The Problem With Traditional Fantasy Analysis</w:t>
      </w:r>
    </w:p>
    <w:p>
      <w:pPr>
        <w:spacing w:after="160"/>
        <w:jc w:val="left"/>
      </w:pPr>
      <w:r>
        <w:rPr>
          <w:b w:val="false"/>
          <w:bCs w:val="false"/>
          <w:i w:val="false"/>
          <w:iCs w:val="false"/>
          <w:color w:val="000000"/>
          <w:sz w:val="22"/>
          <w:szCs w:val="22"/>
        </w:rPr>
        <w:t xml:space="preserve">Fantasy baseball evaluation has a fundamental flaw: it is almost entirely results-based. When a hitter posts a .420 wOBA over three weeks, the fantasy community calls him hot and bids aggressively in trade markets. When a pitcher's ERA spikes to 6.50 in April, managers panic and drop him. Short-term results contain enormous amounts of random noise, and the market systematically misprices players based on that noise.</w:t>
      </w:r>
    </w:p>
    <w:p>
      <w:pPr>
        <w:pStyle w:val="Heading2"/>
        <w:spacing w:after="160" w:before="280"/>
      </w:pPr>
      <w:r>
        <w:rPr>
          <w:b/>
          <w:bCs/>
          <w:color w:val="2E5984"/>
          <w:sz w:val="26"/>
          <w:szCs w:val="26"/>
        </w:rPr>
        <w:t xml:space="preserve">2.1  BABIP Variance</w:t>
      </w:r>
    </w:p>
    <w:p>
      <w:pPr>
        <w:spacing w:after="160"/>
        <w:jc w:val="left"/>
      </w:pPr>
      <w:r>
        <w:rPr>
          <w:b w:val="false"/>
          <w:bCs w:val="false"/>
          <w:i w:val="false"/>
          <w:iCs w:val="false"/>
          <w:color w:val="000000"/>
          <w:sz w:val="22"/>
          <w:szCs w:val="22"/>
        </w:rPr>
        <w:t xml:space="preserve">Batting Average on Balls In Play is the primary driver of short-term luck. A hitter's true-talent BABIP — established over hundreds of plate appearances — is remarkably stable. But in any given month, BABIP can swing .100 points or more due to defensive positioning, ball-in-play sequencing, and park factors. A hitter posting .180 BABIP against a career .320 baseline is almost certainly experiencing bad luck, not genuine decline.</w:t>
      </w:r>
    </w:p>
    <w:p>
      <w:pPr>
        <w:pStyle w:val="Heading2"/>
        <w:spacing w:after="160" w:before="280"/>
      </w:pPr>
      <w:r>
        <w:rPr>
          <w:b/>
          <w:bCs/>
          <w:color w:val="2E5984"/>
          <w:sz w:val="26"/>
          <w:szCs w:val="26"/>
        </w:rPr>
        <w:t xml:space="preserve">2.2  Expected vs Actual Contact Quality</w:t>
      </w:r>
    </w:p>
    <w:p>
      <w:pPr>
        <w:spacing w:after="160"/>
        <w:jc w:val="left"/>
      </w:pPr>
      <w:r>
        <w:rPr>
          <w:b w:val="false"/>
          <w:bCs w:val="false"/>
          <w:i w:val="false"/>
          <w:iCs w:val="false"/>
          <w:color w:val="000000"/>
          <w:sz w:val="22"/>
          <w:szCs w:val="22"/>
        </w:rPr>
        <w:t xml:space="preserve">Statcast's xwOBA metric measures the quality of contact a hitter makes, independent of where the ball landed. A hitter with xwOBA .380 and wOBA .310 is making elite contact that isn't showing up in results. That gap predicts positive regression.</w:t>
      </w:r>
    </w:p>
    <w:p>
      <w:pPr>
        <w:pStyle w:val="Heading2"/>
        <w:spacing w:after="160" w:before="280"/>
      </w:pPr>
      <w:r>
        <w:rPr>
          <w:b/>
          <w:bCs/>
          <w:color w:val="2E5984"/>
          <w:sz w:val="26"/>
          <w:szCs w:val="26"/>
        </w:rPr>
        <w:t xml:space="preserve">2.3  Market Overreaction</w:t>
      </w:r>
    </w:p>
    <w:p>
      <w:pPr>
        <w:spacing w:after="160"/>
        <w:jc w:val="left"/>
      </w:pPr>
      <w:r>
        <w:rPr>
          <w:b w:val="false"/>
          <w:bCs w:val="false"/>
          <w:i w:val="false"/>
          <w:iCs w:val="false"/>
          <w:color w:val="000000"/>
          <w:sz w:val="22"/>
          <w:szCs w:val="22"/>
        </w:rPr>
        <w:t xml:space="preserve">Fantasy managers react to outcomes, not processes. This creates systematic mispricing: buy-low opportunities (players with better underlying quality than results show) and sell-high opportunities (players outperforming their contact quality). The Signal Fantasy is designed to exploit both.</w:t>
      </w:r>
    </w:p>
    <w:p>
      <w:pPr>
        <w:pStyle w:val="Heading2"/>
        <w:spacing w:after="160" w:before="280"/>
      </w:pPr>
      <w:r>
        <w:rPr>
          <w:b/>
          <w:bCs/>
          <w:color w:val="2E5984"/>
          <w:sz w:val="26"/>
          <w:szCs w:val="26"/>
        </w:rPr>
        <w:t xml:space="preserve">2.4  The Second Problem — Translating Signals Into Trades</w:t>
      </w:r>
    </w:p>
    <w:p>
      <w:pPr>
        <w:spacing w:after="160"/>
        <w:jc w:val="left"/>
      </w:pPr>
      <w:r>
        <w:rPr>
          <w:b w:val="false"/>
          <w:bCs w:val="false"/>
          <w:i w:val="false"/>
          <w:iCs w:val="false"/>
          <w:color w:val="000000"/>
          <w:sz w:val="22"/>
          <w:szCs w:val="22"/>
        </w:rPr>
        <w:t xml:space="preserve">Identifying mispriced players is only half the work. The second problem — and the one that drove most of Version 2's development — is converting a luck signal into an actionable trade recommendation. A 'Buy Low on José Ramírez' signal is useless without knowing what fair return value looks like. This is where most fantasy tools fall down: they either reduce trade analysis to raw projected FPTS comparisons (which ignores positional scarcity and category interactions) or rely on subjective ranker consensus (which doesn't adjust mid-season). Version 2 introduces a quantitative framework that addresses both gaps.</w:t>
      </w:r>
    </w:p>
    <w:p>
      <w:pPr>
        <w:pBdr>
          <w:bottom w:val="single" w:color="1F3A5F" w:sz="6" w:space="1"/>
        </w:pBdr>
        <w:spacing w:after="240"/>
      </w:pPr>
    </w:p>
    <w:p>
      <w:pPr>
        <w:pStyle w:val="Heading1"/>
        <w:spacing w:after="200" w:before="360"/>
      </w:pPr>
      <w:r>
        <w:rPr>
          <w:b/>
          <w:bCs/>
          <w:color w:val="1F3A5F"/>
          <w:sz w:val="32"/>
          <w:szCs w:val="32"/>
        </w:rPr>
        <w:t xml:space="preserve">3. The Seven-Layer Signal Stack</w:t>
      </w:r>
    </w:p>
    <w:p>
      <w:pPr>
        <w:spacing w:after="160"/>
        <w:jc w:val="left"/>
      </w:pPr>
      <w:r>
        <w:rPr>
          <w:b w:val="false"/>
          <w:bCs w:val="false"/>
          <w:i w:val="false"/>
          <w:iCs w:val="false"/>
          <w:color w:val="000000"/>
          <w:sz w:val="22"/>
          <w:szCs w:val="22"/>
        </w:rPr>
        <w:t xml:space="preserve">The hitter model synthesizes seven independent data layers into a single luck score. Each layer adds information that the previous layers don't capture. The final score determines signal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Layer</w:t>
            </w:r>
          </w:p>
        </w:tc>
        <w:tc>
          <w:tcPr>
            <w:tcW w:type="dxa" w:w="18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Name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What It Measures</w:t>
            </w:r>
          </w:p>
        </w:tc>
        <w:tc>
          <w:tcPr>
            <w:tcW w:type="dxa" w:w="18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Role</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1</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xwOBA Gap</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Expected contact quality vs actual results — the core signal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Core</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2</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Defensive Adjustment</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OAA modifier (±0.008) — accounts for fielding behind pitcher</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Context</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3</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Contact Type</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GB rate BABIP adjustment — controls for ball-in-play tendencies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Context</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4</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Plate Discipline</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BB%/K% thresholds — separates skill from luck in walk/strikeout rates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Filter</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5</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Career BABIP Baseline</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476-hitter individual baselines — not league average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Anchor</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6</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Age-Adjusted Decay</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32-34: ×0.97 │ 35-36: ×0.94 │ 37-38: ×0.91 │ 39+: ×0.88</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Modifier</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7</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Seasonal Patterns</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Confirmed slow/fast starters — prevents false signals in April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Modifier</w:t>
            </w:r>
          </w:p>
        </w:tc>
      </w:tr>
    </w:tbl>
    <w:p>
      <w:pPr>
        <w:pStyle w:val="Heading2"/>
        <w:spacing w:after="160" w:before="280"/>
      </w:pPr>
      <w:r>
        <w:rPr>
          <w:b/>
          <w:bCs/>
          <w:color w:val="2E5984"/>
          <w:sz w:val="26"/>
          <w:szCs w:val="26"/>
        </w:rPr>
        <w:t xml:space="preserve">3.1  Mathematical Framework</w:t>
      </w:r>
    </w:p>
    <w:p>
      <w:pPr>
        <w:spacing w:after="160"/>
        <w:jc w:val="left"/>
      </w:pPr>
      <w:r>
        <w:rPr>
          <w:b w:val="false"/>
          <w:bCs w:val="false"/>
          <w:i w:val="false"/>
          <w:iCs w:val="false"/>
          <w:color w:val="000000"/>
          <w:sz w:val="22"/>
          <w:szCs w:val="22"/>
        </w:rPr>
        <w:t xml:space="preserve">The core luck score is computed as:</w:t>
      </w:r>
    </w:p>
    <w:p>
      <w:pPr>
        <w:spacing w:after="160"/>
        <w:jc w:val="left"/>
      </w:pPr>
      <w:r>
        <w:rPr>
          <w:b/>
          <w:bCs/>
          <w:i w:val="false"/>
          <w:iCs w:val="false"/>
          <w:color w:val="000000"/>
          <w:sz w:val="22"/>
          <w:szCs w:val="22"/>
        </w:rPr>
        <w:t xml:space="preserve">luck_score = (xwOBA_gap × 1.00) + (BABIP_gap × −3.00) + (HR_FB_gap × −0.15) + modifiers</w:t>
      </w:r>
    </w:p>
    <w:p>
      <w:pPr>
        <w:spacing w:after="160"/>
        <w:jc w:val="left"/>
      </w:pPr>
      <w:r>
        <w:rPr>
          <w:b w:val="false"/>
          <w:bCs w:val="false"/>
          <w:i w:val="false"/>
          <w:iCs w:val="false"/>
          <w:color w:val="000000"/>
          <w:sz w:val="22"/>
          <w:szCs w:val="22"/>
        </w:rPr>
        <w:t xml:space="preserve">Where xwOBA_gap = xwOBA − wOBA (positive = unlucky), BABIP_gap = career_BABIP − current_BABIP (positive = BABIP below career norm), and HR_FB_gap = expected_HR_FB_rate − actual_HR_FB_rate.</w:t>
      </w:r>
    </w:p>
    <w:p>
      <w:pPr>
        <w:pStyle w:val="Heading2"/>
        <w:spacing w:after="160" w:before="280"/>
      </w:pPr>
      <w:r>
        <w:rPr>
          <w:b/>
          <w:bCs/>
          <w:color w:val="2E5984"/>
          <w:sz w:val="26"/>
          <w:szCs w:val="26"/>
        </w:rPr>
        <w:t xml:space="preserve">3.2  Career BABIP Baseline</w:t>
      </w:r>
    </w:p>
    <w:p>
      <w:pPr>
        <w:spacing w:after="160"/>
        <w:jc w:val="left"/>
      </w:pPr>
      <w:r>
        <w:rPr>
          <w:b w:val="false"/>
          <w:bCs w:val="false"/>
          <w:i w:val="false"/>
          <w:iCs w:val="false"/>
          <w:color w:val="000000"/>
          <w:sz w:val="22"/>
          <w:szCs w:val="22"/>
        </w:rPr>
        <w:t xml:space="preserve">Most luck models compare a player's BABIP to the league average (~.300). The Signal Fantasy uses individual career baselines derived from 476 hitters' full career histories. This matters because BABIP is not uniform across players — contact hitters legitimately sustain .340+ career BABIP while pull-heavy power hitters stabilize around .280. Comparing a player to their own baseline eliminates false signals caused by legitimate individual variation.</w:t>
      </w:r>
    </w:p>
    <w:p>
      <w:pPr>
        <w:pBdr>
          <w:bottom w:val="single" w:color="1F3A5F" w:sz="6" w:space="1"/>
        </w:pBdr>
        <w:spacing w:after="240"/>
      </w:pPr>
    </w:p>
    <w:p>
      <w:pPr>
        <w:pStyle w:val="Heading1"/>
        <w:spacing w:after="200" w:before="360"/>
      </w:pPr>
      <w:r>
        <w:rPr>
          <w:b/>
          <w:bCs/>
          <w:color w:val="1F3A5F"/>
          <w:sz w:val="32"/>
          <w:szCs w:val="32"/>
        </w:rPr>
        <w:t xml:space="preserve">4. Signal Classification</w:t>
      </w:r>
    </w:p>
    <w:p>
      <w:pPr>
        <w:spacing w:after="160"/>
        <w:jc w:val="left"/>
      </w:pPr>
      <w:r>
        <w:rPr>
          <w:b w:val="false"/>
          <w:bCs w:val="false"/>
          <w:i w:val="false"/>
          <w:iCs w:val="false"/>
          <w:color w:val="000000"/>
          <w:sz w:val="22"/>
          <w:szCs w:val="22"/>
        </w:rPr>
        <w:t xml:space="preserve">The raw luck score is mapped to a signal tier based on validated thresholds. The thresholds were set through sensitivity analysis on training data (2022–2024) and confirmed on out-of-sample 2025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Signal</w:t>
            </w:r>
          </w:p>
        </w:tc>
        <w:tc>
          <w:tcPr>
            <w:tcW w:type="dxa" w:w="28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Threshold</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Interpretation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Buy Low</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luck_score &gt; 0.150</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Player significantly unluckier than true talent — expect recovery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Slight Buy</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luck_score &gt; 0.100 + gates</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Mild positive gap — below-radar opportunity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Neutral</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−0.085 to +0.085</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No meaningful luck signal — results matching contact quality</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Slight Sell</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luck_score &lt; −0.085</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Mild overperformance — monitor for regression</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Sell High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luck_score &lt; −0.150</w:t>
            </w:r>
          </w:p>
        </w:tc>
        <w:tc>
          <w:tcPr>
            <w:tcW w:type="dxa" w:w="45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Player significantly luckier than true talent — expect regression</w:t>
            </w:r>
          </w:p>
        </w:tc>
      </w:tr>
    </w:tbl>
    <w:p>
      <w:pPr>
        <w:pBdr>
          <w:bottom w:val="single" w:color="1F3A5F" w:sz="6" w:space="1"/>
        </w:pBdr>
        <w:spacing w:after="240"/>
      </w:pPr>
    </w:p>
    <w:p>
      <w:pPr>
        <w:pStyle w:val="Heading1"/>
        <w:spacing w:after="200" w:before="360"/>
      </w:pPr>
      <w:r>
        <w:rPr>
          <w:b/>
          <w:bCs/>
          <w:color w:val="1F3A5F"/>
          <w:sz w:val="32"/>
          <w:szCs w:val="32"/>
        </w:rPr>
        <w:t xml:space="preserve">5. Validation Results — Hitter Model</w:t>
      </w:r>
    </w:p>
    <w:p>
      <w:pPr>
        <w:pStyle w:val="Heading2"/>
        <w:spacing w:after="160" w:before="280"/>
      </w:pPr>
      <w:r>
        <w:rPr>
          <w:b/>
          <w:bCs/>
          <w:color w:val="2E5984"/>
          <w:sz w:val="26"/>
          <w:szCs w:val="26"/>
        </w:rPr>
        <w:t xml:space="preserve">5.1  Train vs Out-of-Sample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Signal</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Train (2022–24)</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n</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OOS 2025</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n</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Buy Low</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91.2%</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57</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96.9%</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32</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Slight Buy</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69.4%</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62</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86.4%</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22</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Slight Sell</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89.3%</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56</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76.9%</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26</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Sell High</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91.7%</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36</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100.0%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14</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Overall</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91.9%</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211</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90.5%</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94</w:t>
            </w:r>
          </w:p>
        </w:tc>
      </w:tr>
    </w:tbl>
    <w:p>
      <w:pPr>
        <w:pStyle w:val="Heading2"/>
        <w:spacing w:after="160" w:before="280"/>
      </w:pPr>
      <w:r>
        <w:rPr>
          <w:b/>
          <w:bCs/>
          <w:color w:val="2E5984"/>
          <w:sz w:val="26"/>
          <w:szCs w:val="26"/>
        </w:rPr>
        <w:t xml:space="preserve">5.2  Key Observations</w:t>
      </w:r>
    </w:p>
    <w:p>
      <w:pPr>
        <w:pStyle w:val="ListParagraph"/>
        <w:numPr>
          <w:ilvl w:val="0"/>
          <w:numId w:val="2"/>
        </w:numPr>
        <w:spacing w:after="80"/>
      </w:pPr>
      <w:r>
        <w:rPr>
          <w:sz w:val="22"/>
          <w:szCs w:val="22"/>
        </w:rPr>
        <w:t xml:space="preserve">The model improves out-of-sample on overall accuracy — the gold-standard signal that the model learned generalizable patterns rather than noise.</w:t>
      </w:r>
    </w:p>
    <w:p>
      <w:pPr>
        <w:pStyle w:val="ListParagraph"/>
        <w:numPr>
          <w:ilvl w:val="0"/>
          <w:numId w:val="2"/>
        </w:numPr>
        <w:spacing w:after="80"/>
      </w:pPr>
      <w:r>
        <w:rPr>
          <w:sz w:val="22"/>
          <w:szCs w:val="22"/>
        </w:rPr>
        <w:t xml:space="preserve">Sell High accuracy reaches 100% in 2025 OOS (n=14) — strong evidence that overperformance signals are reliable.</w:t>
      </w:r>
    </w:p>
    <w:p>
      <w:pPr>
        <w:pStyle w:val="ListParagraph"/>
        <w:numPr>
          <w:ilvl w:val="0"/>
          <w:numId w:val="2"/>
        </w:numPr>
        <w:spacing w:after="80"/>
      </w:pPr>
      <w:r>
        <w:rPr>
          <w:sz w:val="22"/>
          <w:szCs w:val="22"/>
        </w:rPr>
        <w:t xml:space="preserve">Slight Buy shows lower training accuracy but stronger OOS performance, suggesting the tier captures real signals that become clearer with more data.</w:t>
      </w:r>
    </w:p>
    <w:p>
      <w:pPr>
        <w:pStyle w:val="ListParagraph"/>
        <w:numPr>
          <w:ilvl w:val="0"/>
          <w:numId w:val="2"/>
        </w:numPr>
        <w:spacing w:after="80"/>
      </w:pPr>
      <w:r>
        <w:rPr>
          <w:sz w:val="22"/>
          <w:szCs w:val="22"/>
        </w:rPr>
        <w:t xml:space="preserve">The model outperforms a regression-to-mean baseline by +17.9 percentage points on training data and +23.0 percentage points in the 2025 out-of-sample test.</w:t>
      </w:r>
    </w:p>
    <w:p>
      <w:pPr>
        <w:pBdr>
          <w:bottom w:val="single" w:color="1F3A5F" w:sz="6" w:space="1"/>
        </w:pBdr>
        <w:spacing w:after="240"/>
      </w:pPr>
    </w:p>
    <w:p>
      <w:pPr>
        <w:pStyle w:val="Heading1"/>
        <w:spacing w:after="200" w:before="360"/>
      </w:pPr>
      <w:r>
        <w:rPr>
          <w:b/>
          <w:bCs/>
          <w:color w:val="1F3A5F"/>
          <w:sz w:val="32"/>
          <w:szCs w:val="32"/>
        </w:rPr>
        <w:t xml:space="preserve">6. Pitcher Model</w:t>
      </w:r>
    </w:p>
    <w:p>
      <w:pPr>
        <w:spacing w:after="160"/>
        <w:jc w:val="left"/>
      </w:pPr>
      <w:r>
        <w:rPr>
          <w:b w:val="false"/>
          <w:bCs w:val="false"/>
          <w:i w:val="false"/>
          <w:iCs w:val="false"/>
          <w:color w:val="000000"/>
          <w:sz w:val="22"/>
          <w:szCs w:val="22"/>
        </w:rPr>
        <w:t xml:space="preserve">The pitcher model mirrors the hitter model's architecture but replaces contact quality metrics with pitching process metrics. The core signal is the gap between ERA (results) and FIP (Fielding Independent Pitching). When ERA significantly exceeds FIP, the pitcher is experiencing bad luck on balls in play. When ERA is dramatically below FIP, the pitcher is overperforming and regression is likely.</w:t>
      </w:r>
    </w:p>
    <w:p>
      <w:pPr>
        <w:pStyle w:val="Heading2"/>
        <w:spacing w:after="160" w:before="280"/>
      </w:pPr>
      <w:r>
        <w:rPr>
          <w:b/>
          <w:bCs/>
          <w:color w:val="2E5984"/>
          <w:sz w:val="26"/>
          <w:szCs w:val="26"/>
        </w:rPr>
        <w:t xml:space="preserve">6.1  Additional Signal Layers</w:t>
      </w:r>
    </w:p>
    <w:p>
      <w:pPr>
        <w:pStyle w:val="ListParagraph"/>
        <w:numPr>
          <w:ilvl w:val="0"/>
          <w:numId w:val="2"/>
        </w:numPr>
        <w:spacing w:after="80"/>
      </w:pPr>
      <w:r>
        <w:rPr>
          <w:sz w:val="22"/>
          <w:szCs w:val="22"/>
        </w:rPr>
        <w:t xml:space="preserve">xERA gap — Statcast expected ERA based on quality of contact allowed</w:t>
      </w:r>
    </w:p>
    <w:p>
      <w:pPr>
        <w:pStyle w:val="ListParagraph"/>
        <w:numPr>
          <w:ilvl w:val="0"/>
          <w:numId w:val="2"/>
        </w:numPr>
        <w:spacing w:after="80"/>
      </w:pPr>
      <w:r>
        <w:rPr>
          <w:sz w:val="22"/>
          <w:szCs w:val="22"/>
        </w:rPr>
        <w:t xml:space="preserve">LOB% (Left-On-Base%) — sequencing luck in run prevention</w:t>
      </w:r>
    </w:p>
    <w:p>
      <w:pPr>
        <w:pStyle w:val="ListParagraph"/>
        <w:numPr>
          <w:ilvl w:val="0"/>
          <w:numId w:val="2"/>
        </w:numPr>
        <w:spacing w:after="80"/>
      </w:pPr>
      <w:r>
        <w:rPr>
          <w:sz w:val="22"/>
          <w:szCs w:val="22"/>
        </w:rPr>
        <w:t xml:space="preserve">HR/FB rate — home run-to-fly ball luck, regresses toward league average</w:t>
      </w:r>
    </w:p>
    <w:p>
      <w:pPr>
        <w:pStyle w:val="ListParagraph"/>
        <w:numPr>
          <w:ilvl w:val="0"/>
          <w:numId w:val="2"/>
        </w:numPr>
        <w:spacing w:after="80"/>
      </w:pPr>
      <w:r>
        <w:rPr>
          <w:sz w:val="22"/>
          <w:szCs w:val="22"/>
        </w:rPr>
        <w:t xml:space="preserve">Stuff+ matrix with FIP- override — pitch quality context</w:t>
      </w:r>
    </w:p>
    <w:p>
      <w:pPr>
        <w:pStyle w:val="ListParagraph"/>
        <w:numPr>
          <w:ilvl w:val="0"/>
          <w:numId w:val="2"/>
        </w:numPr>
        <w:spacing w:after="80"/>
      </w:pPr>
      <w:r>
        <w:rPr>
          <w:sz w:val="22"/>
          <w:szCs w:val="22"/>
        </w:rPr>
        <w:t xml:space="preserve">Disaster rate flag — identifies volatile pitchers where signals are less reliable</w:t>
      </w:r>
    </w:p>
    <w:p>
      <w:pPr>
        <w:pStyle w:val="Heading2"/>
        <w:spacing w:after="160" w:before="280"/>
      </w:pPr>
      <w:r>
        <w:rPr>
          <w:b/>
          <w:bCs/>
          <w:color w:val="2E5984"/>
          <w:sz w:val="26"/>
          <w:szCs w:val="26"/>
        </w:rPr>
        <w:t xml:space="preserve">6.2  Pitch Mix Evolution Layer</w:t>
      </w:r>
    </w:p>
    <w:p>
      <w:pPr>
        <w:spacing w:after="160"/>
        <w:jc w:val="left"/>
      </w:pPr>
      <w:r>
        <w:rPr>
          <w:b w:val="false"/>
          <w:bCs w:val="false"/>
          <w:i w:val="false"/>
          <w:iCs w:val="false"/>
          <w:color w:val="000000"/>
          <w:sz w:val="22"/>
          <w:szCs w:val="22"/>
        </w:rPr>
        <w:t xml:space="preserve">A pitch mix monitoring layer tracks whether pitchers are abandoning their most effective pitches or adding new weapons. Two key flags: abandonment (best pitch losing &gt;10pp usage with simultaneous SwStr% decline) dampens buy signals, and effectiveness (best pitch SwStr% improving &gt;2pp above 12% floor) amplifies buy signals.</w:t>
      </w:r>
    </w:p>
    <w:p>
      <w:pPr>
        <w:pStyle w:val="Heading2"/>
        <w:spacing w:after="160" w:before="280"/>
      </w:pPr>
      <w:r>
        <w:rPr>
          <w:b/>
          <w:bCs/>
          <w:color w:val="2E5984"/>
          <w:sz w:val="26"/>
          <w:szCs w:val="26"/>
        </w:rPr>
        <w:t xml:space="preserve">6.3  Accuracy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Signal</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Train (2022–24)</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n</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OOS 2025</w:t>
            </w:r>
          </w:p>
        </w:tc>
        <w:tc>
          <w:tcPr>
            <w:tcW w:type="dxa" w:w="1872"/>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n</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Buy Low</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88.9%</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18</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80.0%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Slight Buy</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100.0%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3</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100.0%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Slight Sell</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84.6%</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83.3%</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6</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Sell High</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96.0%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89.7%</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29</w:t>
            </w:r>
          </w:p>
        </w:tc>
      </w:tr>
      <w:tr>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Overall</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87.7%</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134</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82.0%</w:t>
            </w:r>
          </w:p>
        </w:tc>
        <w:tc>
          <w:tcPr>
            <w:tcW w:type="dxa" w:w="1872"/>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46</w:t>
            </w:r>
          </w:p>
        </w:tc>
      </w:tr>
    </w:tbl>
    <w:p>
      <w:pPr>
        <w:pBdr>
          <w:bottom w:val="single" w:color="1F3A5F" w:sz="6" w:space="1"/>
        </w:pBdr>
        <w:spacing w:after="240"/>
      </w:pPr>
    </w:p>
    <w:p>
      <w:pPr>
        <w:pStyle w:val="Heading1"/>
        <w:spacing w:after="200" w:before="360"/>
      </w:pPr>
      <w:r>
        <w:rPr>
          <w:b/>
          <w:bCs/>
          <w:color w:val="1F3A5F"/>
          <w:sz w:val="32"/>
          <w:szCs w:val="32"/>
        </w:rPr>
        <w:t xml:space="preserve">7. Approach and Athleticism Monitoring</w:t>
      </w:r>
    </w:p>
    <w:p>
      <w:pPr>
        <w:spacing w:after="160"/>
        <w:jc w:val="left"/>
      </w:pPr>
      <w:r>
        <w:rPr>
          <w:b w:val="false"/>
          <w:bCs w:val="false"/>
          <w:i w:val="false"/>
          <w:iCs w:val="false"/>
          <w:color w:val="000000"/>
          <w:sz w:val="22"/>
          <w:szCs w:val="22"/>
        </w:rPr>
        <w:t xml:space="preserve">The approach monitoring layer detects when a player's underlying process metrics are trending in ways that either support or contradict the primary luck signal. These modifiers use an additive penalty architecture — flat penalties subtracted from luck scores — rather than multiplicative multipliers, to ensure consistent behavior across the signal distribution.</w:t>
      </w:r>
    </w:p>
    <w:p>
      <w:pPr>
        <w:pStyle w:val="Heading2"/>
        <w:spacing w:after="160" w:before="280"/>
      </w:pPr>
      <w:r>
        <w:rPr>
          <w:b/>
          <w:bCs/>
          <w:color w:val="2E5984"/>
          <w:sz w:val="26"/>
          <w:szCs w:val="26"/>
        </w:rPr>
        <w:t xml:space="preserve">7.1  Hitter Approach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Flag</w:t>
            </w:r>
          </w:p>
        </w:tc>
        <w:tc>
          <w:tcPr>
            <w:tcW w:type="dxa" w:w="24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Threshold</w:t>
            </w:r>
          </w:p>
        </w:tc>
        <w:tc>
          <w:tcPr>
            <w:tcW w:type="dxa" w:w="24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Effect</w:t>
            </w:r>
          </w:p>
        </w:tc>
        <w:tc>
          <w:tcPr>
            <w:tcW w:type="dxa" w:w="23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Penalty</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K% Spike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curr &gt; career + 3pp, min 40 PA</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Buy signal dampener</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−0.010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Pull Rate Drop</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curr &lt; career − 5pp, min 50 PA</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Buy signal dampener</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−0.008</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Hard Hit Drop</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curr &lt; career − 3pp, min 50 PA</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Buy signal dampener</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−0.012</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Sprint Speed Decline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&gt;0.3 ft/sec YoY drop</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Buy signal dampener</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−0.010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Chase Rate Spike</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val="false"/>
                <w:iCs w:val="false"/>
                <w:color w:val="000000"/>
                <w:sz w:val="20"/>
                <w:szCs w:val="20"/>
              </w:rPr>
              <w:t xml:space="preserve">curr &gt; career + 3pp, min 50 PA</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val="false"/>
                <w:bCs w:val="false"/>
                <w:i/>
                <w:iCs/>
                <w:color w:val="000000"/>
                <w:sz w:val="20"/>
                <w:szCs w:val="20"/>
              </w:rPr>
              <w:t xml:space="preserve">Buy signal dampener</w:t>
            </w:r>
          </w:p>
        </w:tc>
        <w:tc>
          <w:tcPr>
            <w:tcW w:type="dxa" w:w="2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−0.008</w:t>
            </w:r>
          </w:p>
        </w:tc>
      </w:tr>
    </w:tbl>
    <w:p>
      <w:pPr>
        <w:pStyle w:val="Heading2"/>
        <w:spacing w:after="160" w:before="280"/>
      </w:pPr>
      <w:r>
        <w:rPr>
          <w:b/>
          <w:bCs/>
          <w:color w:val="2E5984"/>
          <w:sz w:val="26"/>
          <w:szCs w:val="26"/>
        </w:rPr>
        <w:t xml:space="preserve">7.2  Worry Index</w:t>
      </w:r>
    </w:p>
    <w:p>
      <w:pPr>
        <w:spacing w:after="160"/>
        <w:jc w:val="left"/>
      </w:pPr>
      <w:r>
        <w:rPr>
          <w:b w:val="false"/>
          <w:bCs w:val="false"/>
          <w:i w:val="false"/>
          <w:iCs w:val="false"/>
          <w:color w:val="000000"/>
          <w:sz w:val="22"/>
          <w:szCs w:val="22"/>
        </w:rPr>
        <w:t xml:space="preserve">A display layer flags players where the model's silence is itself meaningful information. The Concern Flag fires for high-pedigree players (fp_rank &lt; 50) struggling without a luck signal — meaning the model doesn't see luck as the explanation, and recovery requires belief rather than data. The Breakout Flag fires for surprise performers (fp_rank &gt; 100) outperforming without a regression signal — suggesting the breakout may be real.</w:t>
      </w:r>
    </w:p>
    <w:p>
      <w:pPr>
        <w:pBdr>
          <w:bottom w:val="single" w:color="1F3A5F" w:sz="6" w:space="1"/>
        </w:pBdr>
        <w:spacing w:after="240"/>
      </w:pPr>
    </w:p>
    <w:p>
      <w:pPr>
        <w:pStyle w:val="Heading1"/>
        <w:spacing w:after="200" w:before="360"/>
      </w:pPr>
      <w:r>
        <w:rPr>
          <w:b/>
          <w:bCs/>
          <w:color w:val="1F3A5F"/>
          <w:sz w:val="32"/>
          <w:szCs w:val="32"/>
        </w:rPr>
        <w:t xml:space="preserve">8. Trade Value Framework — Foundation</w:t>
      </w:r>
    </w:p>
    <w:p>
      <w:pPr>
        <w:spacing w:after="160"/>
        <w:jc w:val="left"/>
      </w:pPr>
      <w:r>
        <w:rPr>
          <w:b w:val="false"/>
          <w:bCs w:val="false"/>
          <w:i w:val="false"/>
          <w:iCs w:val="false"/>
          <w:color w:val="000000"/>
          <w:sz w:val="22"/>
          <w:szCs w:val="22"/>
        </w:rPr>
        <w:t xml:space="preserve">Fantasy player trade values require converting projected counting stats into a common currency. Rather than estimating category weights, The Signal Fantasy derived them empirically by scraping CBS Sports full-season FPTS data for 2024 and 2025 (446 hitters, 192 pitchers per year) and running Ridge regression:</w:t>
      </w:r>
    </w:p>
    <w:p>
      <w:pPr>
        <w:spacing w:after="160"/>
        <w:jc w:val="left"/>
      </w:pPr>
      <w:r>
        <w:rPr>
          <w:b/>
          <w:bCs/>
          <w:i w:val="false"/>
          <w:iCs w:val="false"/>
          <w:color w:val="000000"/>
          <w:sz w:val="22"/>
          <w:szCs w:val="22"/>
        </w:rPr>
        <w:t xml:space="preserve">FPTS = β₁(R) + β₂(HR) + β₃(RBI) + β₄(SB) + β₅(AVG) + ε</w:t>
      </w:r>
    </w:p>
    <w:p>
      <w:pPr>
        <w:spacing w:after="160"/>
        <w:jc w:val="left"/>
      </w:pPr>
      <w:r>
        <w:rPr>
          <w:b w:val="false"/>
          <w:bCs w:val="false"/>
          <w:i w:val="false"/>
          <w:iCs w:val="false"/>
          <w:color w:val="000000"/>
          <w:sz w:val="22"/>
          <w:szCs w:val="22"/>
        </w:rPr>
        <w:t xml:space="preserve">Results: Hitter model R² = 0.985 (train), 0.983 (OOS). Pitcher model R² = 0.927 (train), 0.909 (OOS). The high R² confirms that CBS's scoring formula is nearly deterministic from the underlying stats.</w:t>
      </w:r>
    </w:p>
    <w:p>
      <w:pPr>
        <w:spacing w:after="160"/>
        <w:jc w:val="left"/>
      </w:pPr>
      <w:r>
        <w:rPr>
          <w:b/>
          <w:bCs/>
          <w:i w:val="false"/>
          <w:iCs w:val="false"/>
          <w:color w:val="000000"/>
          <w:sz w:val="22"/>
          <w:szCs w:val="22"/>
        </w:rPr>
        <w:t xml:space="preserve">Important caveat: </w:t>
      </w:r>
      <w:r>
        <w:rPr>
          <w:b w:val="false"/>
          <w:bCs w:val="false"/>
          <w:i/>
          <w:iCs/>
          <w:color w:val="000000"/>
          <w:sz w:val="22"/>
          <w:szCs w:val="22"/>
        </w:rPr>
        <w:t xml:space="preserve">Individual coefficients should not be read as 'CBS points per HR' due to multicollinearity (home run hitters also accumulate more R and RBI). The model uses full-vector predictions, not individual coefficient interpretation.</w:t>
      </w:r>
    </w:p>
    <w:p>
      <w:pPr>
        <w:pBdr>
          <w:bottom w:val="single" w:color="1F3A5F" w:sz="6" w:space="1"/>
        </w:pBdr>
        <w:spacing w:after="240"/>
      </w:pPr>
    </w:p>
    <w:p>
      <w:pPr>
        <w:pStyle w:val="Heading1"/>
        <w:spacing w:after="200" w:before="360"/>
      </w:pPr>
      <w:r>
        <w:rPr>
          <w:b/>
          <w:bCs/>
          <w:color w:val="1F3A5F"/>
          <w:sz w:val="32"/>
          <w:szCs w:val="32"/>
        </w:rPr>
        <w:t xml:space="preserve">9. Category Breadth Architecture (V2)</w:t>
      </w:r>
    </w:p>
    <w:p>
      <w:pPr>
        <w:spacing w:after="160"/>
        <w:jc w:val="left"/>
      </w:pPr>
      <w:r>
        <w:rPr>
          <w:b w:val="false"/>
          <w:bCs w:val="false"/>
          <w:i w:val="false"/>
          <w:iCs w:val="false"/>
          <w:color w:val="000000"/>
          <w:sz w:val="22"/>
          <w:szCs w:val="22"/>
        </w:rPr>
        <w:t xml:space="preserve">Version 1 of the trade tool used CBS FPTS as the value currency. This worked for points leagues but failed in roto. The fundamental problem: roto categories are not additive — they compound. A player contributing to four categories provides exponentially more value than a player dominating one category. Version 2 replaces FPTS-based valuation with a Category Breadth Architecture that recognizes this compounding effect.</w:t>
      </w:r>
    </w:p>
    <w:p>
      <w:pPr>
        <w:pStyle w:val="Heading2"/>
        <w:spacing w:after="160" w:before="280"/>
      </w:pPr>
      <w:r>
        <w:rPr>
          <w:b/>
          <w:bCs/>
          <w:color w:val="2E5984"/>
          <w:sz w:val="26"/>
          <w:szCs w:val="26"/>
        </w:rPr>
        <w:t xml:space="preserve">9.1  Architectural Failures of the Original Approach</w:t>
      </w:r>
    </w:p>
    <w:p>
      <w:pPr>
        <w:spacing w:after="160"/>
        <w:jc w:val="left"/>
      </w:pPr>
      <w:r>
        <w:rPr>
          <w:b w:val="false"/>
          <w:bCs w:val="false"/>
          <w:i w:val="false"/>
          <w:iCs w:val="false"/>
          <w:color w:val="000000"/>
          <w:sz w:val="22"/>
          <w:szCs w:val="22"/>
        </w:rPr>
        <w:t xml:space="preserve">Before designing the breadth model, three concrete failures of the original FPTS-based approach were documented:</w:t>
      </w:r>
    </w:p>
    <w:p>
      <w:pPr>
        <w:spacing w:after="160"/>
        <w:jc w:val="left"/>
      </w:pPr>
      <w:r>
        <w:rPr>
          <w:b/>
          <w:bCs/>
          <w:i w:val="false"/>
          <w:iCs w:val="false"/>
          <w:color w:val="000000"/>
          <w:sz w:val="22"/>
          <w:szCs w:val="22"/>
        </w:rPr>
        <w:t xml:space="preserve">Failure 1 — Pool size bias. </w:t>
      </w:r>
      <w:r>
        <w:rPr>
          <w:b w:val="false"/>
          <w:bCs w:val="false"/>
          <w:i w:val="false"/>
          <w:iCs w:val="false"/>
          <w:color w:val="000000"/>
          <w:sz w:val="22"/>
          <w:szCs w:val="22"/>
        </w:rPr>
        <w:t xml:space="preserve">Players were ranked within position pools, with pool size normalization intended to make positions comparable. In practice, pools with fewer players (1B) inflated rank scores while large pools (OF) compressed them. The result: Freddie Freeman (23 HR, .263 AVG) ranked above Aaron Judge (39 HR, .265 AVG, FP#1 overall) in roto surplus.</w:t>
      </w:r>
    </w:p>
    <w:p>
      <w:pPr>
        <w:spacing w:after="160"/>
        <w:jc w:val="left"/>
      </w:pPr>
      <w:r>
        <w:rPr>
          <w:b/>
          <w:bCs/>
          <w:i w:val="false"/>
          <w:iCs w:val="false"/>
          <w:color w:val="000000"/>
          <w:sz w:val="22"/>
          <w:szCs w:val="22"/>
        </w:rPr>
        <w:t xml:space="preserve">Failure 2 — Single-category dominance overweighting. </w:t>
      </w:r>
      <w:r>
        <w:rPr>
          <w:b w:val="false"/>
          <w:bCs w:val="false"/>
          <w:i w:val="false"/>
          <w:iCs w:val="false"/>
          <w:color w:val="000000"/>
          <w:sz w:val="22"/>
          <w:szCs w:val="22"/>
        </w:rPr>
        <w:t xml:space="preserve">When HR weight was boosted to correct for Judge's positioning, pure power hitters like Max Muncy (FP#185, 29 HR) jumped into the top 5 overall — beating balanced 5-category contributors like Witt and Ohtani.</w:t>
      </w:r>
    </w:p>
    <w:p>
      <w:pPr>
        <w:spacing w:after="160"/>
        <w:jc w:val="left"/>
      </w:pPr>
      <w:r>
        <w:rPr>
          <w:b/>
          <w:bCs/>
          <w:i w:val="false"/>
          <w:iCs w:val="false"/>
          <w:color w:val="000000"/>
          <w:sz w:val="22"/>
          <w:szCs w:val="22"/>
        </w:rPr>
        <w:t xml:space="preserve">Failure 3 — Pool composition cascading. </w:t>
      </w:r>
      <w:r>
        <w:rPr>
          <w:b w:val="false"/>
          <w:bCs w:val="false"/>
          <w:i w:val="false"/>
          <w:iCs w:val="false"/>
          <w:color w:val="000000"/>
          <w:sz w:val="22"/>
          <w:szCs w:val="22"/>
        </w:rPr>
        <w:t xml:space="preserve">Percentile-based thresholds shifted every time the qualified player pool changed. Tightening the FP gate from 300 to 150 created an 'elite-only' pool where Ramírez's 86 RBI projection registered at the 33rd percentile, blocking him from breadth credit despite being a legitimate top-10 overall player. Every threshold adjustment cascaded through the model unpredictably.</w:t>
      </w:r>
    </w:p>
    <w:p>
      <w:pPr>
        <w:pStyle w:val="Heading2"/>
        <w:spacing w:after="160" w:before="280"/>
      </w:pPr>
      <w:r>
        <w:rPr>
          <w:b/>
          <w:bCs/>
          <w:color w:val="2E5984"/>
          <w:sz w:val="26"/>
          <w:szCs w:val="26"/>
        </w:rPr>
        <w:t xml:space="preserve">9.2  Design Principles for V2</w:t>
      </w:r>
    </w:p>
    <w:p>
      <w:pPr>
        <w:spacing w:after="160"/>
        <w:jc w:val="left"/>
      </w:pPr>
      <w:r>
        <w:rPr>
          <w:b w:val="false"/>
          <w:bCs w:val="false"/>
          <w:i w:val="false"/>
          <w:iCs w:val="false"/>
          <w:color w:val="000000"/>
          <w:sz w:val="22"/>
          <w:szCs w:val="22"/>
        </w:rPr>
        <w:t xml:space="preserve">The breadth architecture was designed around five principles, each addressing a specific failure mode:</w:t>
      </w:r>
    </w:p>
    <w:p>
      <w:pPr>
        <w:pStyle w:val="ListParagraph"/>
        <w:numPr>
          <w:ilvl w:val="0"/>
          <w:numId w:val="2"/>
        </w:numPr>
        <w:spacing w:after="80"/>
      </w:pPr>
      <w:r>
        <w:rPr>
          <w:sz w:val="22"/>
          <w:szCs w:val="22"/>
        </w:rPr>
        <w:t xml:space="preserve">Global ranking, not pool ranking — players are evaluated against all qualified hitters, eliminating position-pool size bias</w:t>
      </w:r>
    </w:p>
    <w:p>
      <w:pPr>
        <w:pStyle w:val="ListParagraph"/>
        <w:numPr>
          <w:ilvl w:val="0"/>
          <w:numId w:val="2"/>
        </w:numPr>
        <w:spacing w:after="80"/>
      </w:pPr>
      <w:r>
        <w:rPr>
          <w:sz w:val="22"/>
          <w:szCs w:val="22"/>
        </w:rPr>
        <w:t xml:space="preserve">Fixed raw stat thresholds, not percentiles — eliminates pool composition cascading</w:t>
      </w:r>
    </w:p>
    <w:p>
      <w:pPr>
        <w:pStyle w:val="ListParagraph"/>
        <w:numPr>
          <w:ilvl w:val="0"/>
          <w:numId w:val="2"/>
        </w:numPr>
        <w:spacing w:after="80"/>
      </w:pPr>
      <w:r>
        <w:rPr>
          <w:sz w:val="22"/>
          <w:szCs w:val="22"/>
        </w:rPr>
        <w:t xml:space="preserve">Multiplicative breadth bonus — recognizes that category contributions compound rather than add linearly</w:t>
      </w:r>
    </w:p>
    <w:p>
      <w:pPr>
        <w:pStyle w:val="ListParagraph"/>
        <w:numPr>
          <w:ilvl w:val="0"/>
          <w:numId w:val="2"/>
        </w:numPr>
        <w:spacing w:after="80"/>
      </w:pPr>
      <w:r>
        <w:rPr>
          <w:sz w:val="22"/>
          <w:szCs w:val="22"/>
        </w:rPr>
        <w:t xml:space="preserve">SB independence premium — acknowledges that stolen bases are the one truly uncorrelated category and rare combinations deserve a premium</w:t>
      </w:r>
    </w:p>
    <w:p>
      <w:pPr>
        <w:pStyle w:val="ListParagraph"/>
        <w:numPr>
          <w:ilvl w:val="0"/>
          <w:numId w:val="2"/>
        </w:numPr>
        <w:spacing w:after="80"/>
      </w:pPr>
      <w:r>
        <w:rPr>
          <w:sz w:val="22"/>
          <w:szCs w:val="22"/>
        </w:rPr>
        <w:t xml:space="preserve">Dominance bonus — distinguishes 99th-percentile contribution from 56th-percentile contribution within the same breadth tier</w:t>
      </w:r>
    </w:p>
    <w:p>
      <w:pPr>
        <w:pStyle w:val="Heading2"/>
        <w:spacing w:after="160" w:before="280"/>
      </w:pPr>
      <w:r>
        <w:rPr>
          <w:b/>
          <w:bCs/>
          <w:color w:val="2E5984"/>
          <w:sz w:val="26"/>
          <w:szCs w:val="26"/>
        </w:rPr>
        <w:t xml:space="preserve">9.3  Hitter Breadth Formula</w:t>
      </w:r>
    </w:p>
    <w:p>
      <w:pPr>
        <w:spacing w:after="160"/>
        <w:jc w:val="left"/>
      </w:pPr>
      <w:r>
        <w:rPr>
          <w:b w:val="false"/>
          <w:bCs w:val="false"/>
          <w:i w:val="false"/>
          <w:iCs w:val="false"/>
          <w:color w:val="000000"/>
          <w:sz w:val="22"/>
          <w:szCs w:val="22"/>
        </w:rPr>
        <w:t xml:space="preserve">A player 'contributes' to a category if they meet fixed raw stat thresholds, scaled by remaining season fraction: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Category</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Full-Season Floor</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Mid-May ROS (×0.735)</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Elite Threshold</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HR</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22</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16.2</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35</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R</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62.5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120</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RBI</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58.8</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105</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SB</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35</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AVG (contrib)</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.255 (rate)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.285</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AVG (penalty)</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&lt;.220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&lt;.220 (rate)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w:t>
            </w:r>
          </w:p>
        </w:tc>
      </w:tr>
    </w:tbl>
    <w:p>
      <w:pPr>
        <w:spacing w:after="160"/>
        <w:jc w:val="left"/>
      </w:pPr>
      <w:r>
        <w:rPr>
          <w:b w:val="false"/>
          <w:bCs w:val="false"/>
          <w:i w:val="false"/>
          <w:iCs w:val="false"/>
          <w:color w:val="000000"/>
          <w:sz w:val="22"/>
          <w:szCs w:val="22"/>
        </w:rPr>
        <w:t xml:space="preserve">Rate stats (AVG, ERA, WHIP) are not scaled because they represent per-event performance rather than counting accumulation. The AVG penalty tier reflects a structural roto reality: a player hitting below .220 is actively dragging team batting average down rather than being neutral on the category.</w:t>
      </w:r>
    </w:p>
    <w:p>
      <w:pPr>
        <w:spacing w:after="120" w:before="200"/>
      </w:pPr>
      <w:r>
        <w:rPr>
          <w:b/>
          <w:bCs/>
          <w:color w:val="333333"/>
          <w:sz w:val="22"/>
          <w:szCs w:val="22"/>
        </w:rPr>
        <w:t xml:space="preserve">Breadth Multiplier</w:t>
      </w:r>
    </w:p>
    <w:p>
      <w:pPr>
        <w:spacing w:after="160"/>
        <w:jc w:val="left"/>
      </w:pPr>
      <w:r>
        <w:rPr>
          <w:b w:val="false"/>
          <w:bCs w:val="false"/>
          <w:i w:val="false"/>
          <w:iCs w:val="false"/>
          <w:color w:val="000000"/>
          <w:sz w:val="22"/>
          <w:szCs w:val="22"/>
        </w:rPr>
        <w:t xml:space="preserve">breadth_count = sum of categories where player meets contribution threshold (0 to 5)</w:t>
      </w:r>
    </w:p>
    <w:p>
      <w:pPr>
        <w:spacing w:after="160"/>
        <w:jc w:val="left"/>
      </w:pPr>
      <w:r>
        <w:rPr>
          <w:b/>
          <w:bCs/>
          <w:i w:val="false"/>
          <w:iCs w:val="false"/>
          <w:color w:val="000000"/>
          <w:sz w:val="22"/>
          <w:szCs w:val="22"/>
        </w:rPr>
        <w:t xml:space="preserve">breadth_multiplier = 1.20 ^ breadth_count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Categories Contributed</w:t>
            </w:r>
          </w:p>
        </w:tc>
        <w:tc>
          <w:tcPr>
            <w:tcW w:type="dxa" w:w="468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Multiplier</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 category</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×1.20</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 categories</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×1.44</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3 categories</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×1.73</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4 categories</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×2.07</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5 categories (jackpot)</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×2.49</w:t>
            </w:r>
          </w:p>
        </w:tc>
      </w:tr>
    </w:tbl>
    <w:p>
      <w:pPr>
        <w:spacing w:after="120" w:before="200"/>
      </w:pPr>
      <w:r>
        <w:rPr>
          <w:b/>
          <w:bCs/>
          <w:color w:val="333333"/>
          <w:sz w:val="22"/>
          <w:szCs w:val="22"/>
        </w:rPr>
        <w:t xml:space="preserve">SB Independence Premium</w:t>
      </w:r>
    </w:p>
    <w:p>
      <w:pPr>
        <w:spacing w:after="160"/>
        <w:jc w:val="left"/>
      </w:pPr>
      <w:r>
        <w:rPr>
          <w:b w:val="false"/>
          <w:bCs w:val="false"/>
          <w:i w:val="false"/>
          <w:iCs w:val="false"/>
          <w:color w:val="000000"/>
          <w:sz w:val="22"/>
          <w:szCs w:val="22"/>
        </w:rPr>
        <w:t xml:space="preserve">When a player contributes SB AND at least one of HR or RBI, an additional ×1.10 multiplier applies. The rationale: HR cascades into R and RBI naturally (a 40-HR hitter accumulates 100+ R and RBI almost automatically), so contributing all three is effectively contributing 'one skill, three categories.' Contributing SB alongside power is a genuinely independent skill combination that deserves a premium beyond the breadth bonus alone.</w:t>
      </w:r>
    </w:p>
    <w:p>
      <w:pPr>
        <w:spacing w:after="120" w:before="200"/>
      </w:pPr>
      <w:r>
        <w:rPr>
          <w:b/>
          <w:bCs/>
          <w:color w:val="333333"/>
          <w:sz w:val="22"/>
          <w:szCs w:val="22"/>
        </w:rPr>
        <w:t xml:space="preserve">Dominance Bonus</w:t>
      </w:r>
    </w:p>
    <w:p>
      <w:pPr>
        <w:spacing w:after="160"/>
        <w:jc w:val="left"/>
      </w:pPr>
      <w:r>
        <w:rPr>
          <w:b w:val="false"/>
          <w:bCs w:val="false"/>
          <w:i w:val="false"/>
          <w:iCs w:val="false"/>
          <w:color w:val="000000"/>
          <w:sz w:val="22"/>
          <w:szCs w:val="22"/>
        </w:rPr>
        <w:t xml:space="preserve">For each category where a player exceeds the elite threshold (HR ≥ 35, R ≥ 120, RBI ≥ 105, SB ≥ 35, AVG ≥ .285), apply an additional ×1.05 multiplier:</w:t>
      </w:r>
    </w:p>
    <w:p>
      <w:pPr>
        <w:spacing w:after="160"/>
        <w:jc w:val="left"/>
      </w:pPr>
      <w:r>
        <w:rPr>
          <w:b/>
          <w:bCs/>
          <w:i w:val="false"/>
          <w:iCs w:val="false"/>
          <w:color w:val="000000"/>
          <w:sz w:val="22"/>
          <w:szCs w:val="22"/>
        </w:rPr>
        <w:t xml:space="preserve">elite_bonus = 1.05 ^ elite_count</w:t>
      </w:r>
    </w:p>
    <w:p>
      <w:pPr>
        <w:spacing w:after="160"/>
        <w:jc w:val="left"/>
      </w:pPr>
      <w:r>
        <w:rPr>
          <w:b w:val="false"/>
          <w:bCs w:val="false"/>
          <w:i w:val="false"/>
          <w:iCs w:val="false"/>
          <w:color w:val="000000"/>
          <w:sz w:val="22"/>
          <w:szCs w:val="22"/>
        </w:rPr>
        <w:t xml:space="preserve">This distinguishes raw dominance from broad contribution. Aaron Judge (HR=39, R=141, RBI=108, AVG=.265, SB=7) hits 3 elite categories (HR/R/RBI) plus 1 contribution category (AVG), earning a ×1.158 elite bonus on top of his ×2.07 breadth multiplier. The architecture correctly preserves Judge's status as the #1 overall player despite his SB liability.</w:t>
      </w:r>
    </w:p>
    <w:p>
      <w:pPr>
        <w:pStyle w:val="Heading2"/>
        <w:spacing w:after="160" w:before="280"/>
      </w:pPr>
      <w:r>
        <w:rPr>
          <w:b/>
          <w:bCs/>
          <w:color w:val="2E5984"/>
          <w:sz w:val="26"/>
          <w:szCs w:val="26"/>
        </w:rPr>
        <w:t xml:space="preserve">9.4  Final Score Calculation</w:t>
      </w:r>
    </w:p>
    <w:p>
      <w:pPr>
        <w:spacing w:after="160"/>
        <w:jc w:val="left"/>
      </w:pPr>
      <w:r>
        <w:rPr>
          <w:b/>
          <w:bCs/>
          <w:i w:val="false"/>
          <w:iCs w:val="false"/>
          <w:color w:val="000000"/>
          <w:sz w:val="22"/>
          <w:szCs w:val="22"/>
        </w:rPr>
        <w:t xml:space="preserve">final_score = base_score × breadth_multiplier × sb_independence_bonus × elite_bonus × scarcity_multiplier × avg_penalty_multiplier</w:t>
      </w:r>
    </w:p>
    <w:p>
      <w:pPr>
        <w:spacing w:after="160"/>
        <w:jc w:val="left"/>
      </w:pPr>
      <w:r>
        <w:rPr>
          <w:b w:val="false"/>
          <w:bCs w:val="false"/>
          <w:i w:val="false"/>
          <w:iCs w:val="false"/>
          <w:color w:val="000000"/>
          <w:sz w:val="22"/>
          <w:szCs w:val="22"/>
        </w:rPr>
        <w:t xml:space="preserve">Where base_score is the weighted percentile sum across categories (HR weighted 1.6, SB weighted 1.2, all others weighted 1.0), and avg_penalty_multiplier is 0.92 when AVG falls below .220 (otherwise 1.00). The breadth_count itself decreases by 1 when the AVG penalty fires, compounding the structural cost of a roto-damaging batting average.</w:t>
      </w:r>
    </w:p>
    <w:p>
      <w:pPr>
        <w:pStyle w:val="Heading2"/>
        <w:spacing w:after="160" w:before="280"/>
      </w:pPr>
      <w:r>
        <w:rPr>
          <w:b/>
          <w:bCs/>
          <w:color w:val="2E5984"/>
          <w:sz w:val="26"/>
          <w:szCs w:val="26"/>
        </w:rPr>
        <w:t xml:space="preserve">9.5  Tiered Positional Scarcity</w:t>
      </w:r>
    </w:p>
    <w:p>
      <w:pPr>
        <w:spacing w:after="160"/>
        <w:jc w:val="left"/>
      </w:pPr>
      <w:r>
        <w:rPr>
          <w:b w:val="false"/>
          <w:bCs w:val="false"/>
          <w:i w:val="false"/>
          <w:iCs w:val="false"/>
          <w:color w:val="000000"/>
          <w:sz w:val="22"/>
          <w:szCs w:val="22"/>
        </w:rPr>
        <w:t xml:space="preserve">Scarcity multipliers use demand-supply ratios (roster slots × teams / qualified player pool) rather than arbitrary values, with performance-tier modulation: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Position</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Base Multiplier</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Demand/Pool Ratio</w:t>
            </w:r>
          </w:p>
        </w:tc>
        <w:tc>
          <w:tcPr>
            <w:tcW w:type="dxa" w:w="234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Top Tier Damping</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OF</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1.183</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65/178</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 (cap)</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C</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1.000 (hard cap)</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26/75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1.00 max</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1B</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1.148</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13/44</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 (cap)</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1.130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13/50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 (cap)</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3B</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1.127</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13/51</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 (cap)</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2B</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1.118</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13/55</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25% (cap)</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DH</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0.90 (penalty)</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13/N/A</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w:t>
            </w:r>
          </w:p>
        </w:tc>
      </w:tr>
    </w:tbl>
    <w:p>
      <w:pPr>
        <w:spacing w:after="160"/>
        <w:jc w:val="left"/>
      </w:pPr>
      <w:r>
        <w:rPr>
          <w:b w:val="false"/>
          <w:bCs w:val="false"/>
          <w:i w:val="false"/>
          <w:iCs w:val="false"/>
          <w:color w:val="000000"/>
          <w:sz w:val="22"/>
          <w:szCs w:val="22"/>
        </w:rPr>
        <w:t xml:space="preserve">Two scarcity rules deserve specific explanation:</w:t>
      </w:r>
    </w:p>
    <w:p>
      <w:pPr>
        <w:spacing w:after="160"/>
        <w:jc w:val="left"/>
      </w:pPr>
      <w:r>
        <w:rPr>
          <w:b/>
          <w:bCs/>
          <w:i w:val="false"/>
          <w:iCs w:val="false"/>
          <w:color w:val="000000"/>
          <w:sz w:val="22"/>
          <w:szCs w:val="22"/>
        </w:rPr>
        <w:t xml:space="preserve">Catcher cap. </w:t>
      </w:r>
      <w:r>
        <w:rPr>
          <w:b w:val="false"/>
          <w:bCs w:val="false"/>
          <w:i w:val="false"/>
          <w:iCs w:val="false"/>
          <w:color w:val="000000"/>
          <w:sz w:val="22"/>
          <w:szCs w:val="22"/>
        </w:rPr>
        <w:t xml:space="preserve">Positional scarcity premium is suppressed entirely for catchers. The reasoning: elite catchers do not command first-round ADP in practice. A player like Ben Rice (FP#37, 31 HR projection) generates legitimate surplus from raw production, but the position itself does not warrant the multiplicative premium that a literal demand/supply ratio would imply. Empirically, scarcity premiums in real draft rooms only apply when the position becomes thin in the early-to-mid rounds (the 'Ramírez 3B effect' from 2019–2021). Catcher rarely reaches that condition.</w:t>
      </w:r>
    </w:p>
    <w:p>
      <w:pPr>
        <w:spacing w:after="160"/>
        <w:jc w:val="left"/>
      </w:pPr>
      <w:r>
        <w:rPr>
          <w:b/>
          <w:bCs/>
          <w:i w:val="false"/>
          <w:iCs w:val="false"/>
          <w:color w:val="000000"/>
          <w:sz w:val="22"/>
          <w:szCs w:val="22"/>
        </w:rPr>
        <w:t xml:space="preserve">DH penalty. </w:t>
      </w:r>
      <w:r>
        <w:rPr>
          <w:b w:val="false"/>
          <w:bCs w:val="false"/>
          <w:i w:val="false"/>
          <w:iCs w:val="false"/>
          <w:color w:val="000000"/>
          <w:sz w:val="22"/>
          <w:szCs w:val="22"/>
        </w:rPr>
        <w:t xml:space="preserve">DH receives a 0.90 multiplier — a penalty rather than a premium — reflecting the hidden roster flexibility cost of drafting a DH-only player. A DH locks the utility slot permanently, forfeiting the flexibility to absorb injuries or matchup advantages elsewhere on the roster. This is the rare case where positional designation imposes a structural team-construction cost.</w:t>
      </w:r>
    </w:p>
    <w:p>
      <w:pPr>
        <w:pBdr>
          <w:bottom w:val="single" w:color="1F3A5F" w:sz="6" w:space="1"/>
        </w:pBdr>
        <w:spacing w:after="240"/>
      </w:pPr>
    </w:p>
    <w:p>
      <w:pPr>
        <w:pStyle w:val="Heading1"/>
        <w:spacing w:after="200" w:before="360"/>
      </w:pPr>
      <w:r>
        <w:rPr>
          <w:b/>
          <w:bCs/>
          <w:color w:val="1F3A5F"/>
          <w:sz w:val="32"/>
          <w:szCs w:val="32"/>
        </w:rPr>
        <w:t xml:space="preserve">10. Mid-Season Calibration System (V2)</w:t>
      </w:r>
    </w:p>
    <w:p>
      <w:pPr>
        <w:spacing w:after="160"/>
        <w:jc w:val="left"/>
      </w:pPr>
      <w:r>
        <w:rPr>
          <w:b w:val="false"/>
          <w:bCs w:val="false"/>
          <w:i w:val="false"/>
          <w:iCs w:val="false"/>
          <w:color w:val="000000"/>
          <w:sz w:val="22"/>
          <w:szCs w:val="22"/>
        </w:rPr>
        <w:t xml:space="preserve">Version 1 of the trade tool produced full-season projections, which work well in preseason but degrade rapidly during the season. By mid-May, a 'projected 23 HR' Freeman line means little when 60% of those HR are already in the books. Version 2 introduces automatic ROS scaling — every projection is multiplied by the remaining season fraction before scoring, and every breadth threshold scales proportionally.</w:t>
      </w:r>
    </w:p>
    <w:p>
      <w:pPr>
        <w:pStyle w:val="Heading2"/>
        <w:spacing w:after="160" w:before="280"/>
      </w:pPr>
      <w:r>
        <w:rPr>
          <w:b/>
          <w:bCs/>
          <w:color w:val="2E5984"/>
          <w:sz w:val="26"/>
          <w:szCs w:val="26"/>
        </w:rPr>
        <w:t xml:space="preserve">10.1  ROS Fraction Calculation</w:t>
      </w:r>
    </w:p>
    <w:p>
      <w:pPr>
        <w:spacing w:after="160"/>
        <w:jc w:val="left"/>
      </w:pPr>
      <w:r>
        <w:rPr>
          <w:b/>
          <w:bCs/>
          <w:i w:val="false"/>
          <w:iCs w:val="false"/>
          <w:color w:val="000000"/>
          <w:sz w:val="22"/>
          <w:szCs w:val="22"/>
        </w:rPr>
        <w:t xml:space="preserve">remaining_fraction = max(0.10, min(1.00, (season_end − today) / season_total_days))</w:t>
      </w:r>
    </w:p>
    <w:p>
      <w:pPr>
        <w:spacing w:after="160"/>
        <w:jc w:val="left"/>
      </w:pPr>
      <w:r>
        <w:rPr>
          <w:b w:val="false"/>
          <w:bCs w:val="false"/>
          <w:i w:val="false"/>
          <w:iCs w:val="false"/>
          <w:color w:val="000000"/>
          <w:sz w:val="22"/>
          <w:szCs w:val="22"/>
        </w:rPr>
        <w:t xml:space="preserve">Season parameters for 2026: start date March 20, end date September 28, total span 192 days. As of mid-May 2026, the calculated fraction is 0.735 (136 days remaining out of 192). The fraction recalculates every pipeline run, requiring no manual intervention.</w:t>
      </w:r>
    </w:p>
    <w:p>
      <w:pPr>
        <w:pStyle w:val="Heading2"/>
        <w:spacing w:after="160" w:before="280"/>
      </w:pPr>
      <w:r>
        <w:rPr>
          <w:b/>
          <w:bCs/>
          <w:color w:val="2E5984"/>
          <w:sz w:val="26"/>
          <w:szCs w:val="26"/>
        </w:rPr>
        <w:t xml:space="preserve">10.2  What Scales and What Doesn't</w:t>
      </w:r>
    </w:p>
    <w:p>
      <w:pPr>
        <w:spacing w:after="160"/>
        <w:jc w:val="left"/>
      </w:pPr>
      <w:r>
        <w:rPr>
          <w:b w:val="false"/>
          <w:bCs w:val="false"/>
          <w:i w:val="false"/>
          <w:iCs w:val="false"/>
          <w:color w:val="000000"/>
          <w:sz w:val="22"/>
          <w:szCs w:val="22"/>
        </w:rPr>
        <w:t xml:space="preserve">Counting stats scale; rate stats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Scales by ROS Fraction</w:t>
            </w:r>
          </w:p>
        </w:tc>
        <w:tc>
          <w:tcPr>
            <w:tcW w:type="dxa" w:w="468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Does Not Scale</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proj_HR, proj_R, proj_RBI, proj_SB</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proj_AVG</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proj_W, proj_K</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proj_ERA, proj_WHIP</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Breadth thresholds (HR/R/RBI/SB)</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AVG thresholds (.255, .220)</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Elite thresholds (35/120/105/35)</w:t>
            </w:r>
          </w:p>
        </w:tc>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Elite AVG (.285)</w:t>
            </w:r>
          </w:p>
        </w:tc>
      </w:tr>
    </w:tbl>
    <w:p>
      <w:pPr>
        <w:pStyle w:val="Heading2"/>
        <w:spacing w:after="160" w:before="280"/>
      </w:pPr>
      <w:r>
        <w:rPr>
          <w:b/>
          <w:bCs/>
          <w:color w:val="2E5984"/>
          <w:sz w:val="26"/>
          <w:szCs w:val="26"/>
        </w:rPr>
        <w:t xml:space="preserve">10.3  Concrete Example</w:t>
      </w:r>
    </w:p>
    <w:p>
      <w:pPr>
        <w:spacing w:after="160"/>
        <w:jc w:val="left"/>
      </w:pPr>
      <w:r>
        <w:rPr>
          <w:b w:val="false"/>
          <w:bCs w:val="false"/>
          <w:i w:val="false"/>
          <w:iCs w:val="false"/>
          <w:color w:val="000000"/>
          <w:sz w:val="22"/>
          <w:szCs w:val="22"/>
        </w:rPr>
        <w:t xml:space="preserve">Freddie Freeman, full-season projection vs ROS-scaled (May 16,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Stat</w:t>
            </w:r>
          </w:p>
        </w:tc>
        <w:tc>
          <w:tcPr>
            <w:tcW w:type="dxa" w:w="312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Full Season</w:t>
            </w:r>
          </w:p>
        </w:tc>
        <w:tc>
          <w:tcPr>
            <w:tcW w:type="dxa" w:w="312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ROS (×0.735)</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HR</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22.7</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16.7</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R</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113.7</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83.6</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RBI</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94.2</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69.2</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SB</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9.6</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7.1</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AVG</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.263</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.263 (unchanged)</w:t>
            </w:r>
          </w:p>
        </w:tc>
      </w:tr>
    </w:tbl>
    <w:p>
      <w:pPr>
        <w:spacing w:after="160"/>
        <w:jc w:val="left"/>
      </w:pPr>
      <w:r>
        <w:rPr>
          <w:b w:val="false"/>
          <w:bCs w:val="false"/>
          <w:i w:val="false"/>
          <w:iCs w:val="false"/>
          <w:color w:val="000000"/>
          <w:sz w:val="22"/>
          <w:szCs w:val="22"/>
        </w:rPr>
        <w:t xml:space="preserve">The ROS-scaled projections are what a manager actually has remaining to gain by acquiring this player on May 16. This is what feeds the trade analyzer.</w:t>
      </w:r>
    </w:p>
    <w:p>
      <w:pPr>
        <w:pBdr>
          <w:bottom w:val="single" w:color="1F3A5F" w:sz="6" w:space="1"/>
        </w:pBdr>
        <w:spacing w:after="240"/>
      </w:pPr>
    </w:p>
    <w:p>
      <w:pPr>
        <w:pStyle w:val="Heading1"/>
        <w:spacing w:after="200" w:before="360"/>
      </w:pPr>
      <w:r>
        <w:rPr>
          <w:b/>
          <w:bCs/>
          <w:color w:val="1F3A5F"/>
          <w:sz w:val="32"/>
          <w:szCs w:val="32"/>
        </w:rPr>
        <w:t xml:space="preserve">11. Pedigree Override Layer (V2)</w:t>
      </w:r>
    </w:p>
    <w:p>
      <w:pPr>
        <w:spacing w:after="160"/>
        <w:jc w:val="left"/>
      </w:pPr>
      <w:r>
        <w:rPr>
          <w:b w:val="false"/>
          <w:bCs w:val="false"/>
          <w:i w:val="false"/>
          <w:iCs w:val="false"/>
          <w:color w:val="000000"/>
          <w:sz w:val="22"/>
          <w:szCs w:val="22"/>
        </w:rPr>
        <w:t xml:space="preserve">Even with ROS scaling, projection systems carry a structural bias: they over-weight early-season performance and under-weight career true-talent levels. For most players this is acceptable noise. For elite, multi-year-track-record players experiencing a slow start, it produces catastrophically wrong projections.</w:t>
      </w:r>
    </w:p>
    <w:p>
      <w:pPr>
        <w:pStyle w:val="Heading2"/>
        <w:spacing w:after="160" w:before="280"/>
      </w:pPr>
      <w:r>
        <w:rPr>
          <w:b/>
          <w:bCs/>
          <w:color w:val="2E5984"/>
          <w:sz w:val="26"/>
          <w:szCs w:val="26"/>
        </w:rPr>
        <w:t xml:space="preserve">11.1  The Problem in Concrete Terms</w:t>
      </w:r>
    </w:p>
    <w:p>
      <w:pPr>
        <w:spacing w:after="160"/>
        <w:jc w:val="left"/>
      </w:pPr>
      <w:r>
        <w:rPr>
          <w:b w:val="false"/>
          <w:bCs w:val="false"/>
          <w:i w:val="false"/>
          <w:iCs w:val="false"/>
          <w:color w:val="000000"/>
          <w:sz w:val="22"/>
          <w:szCs w:val="22"/>
        </w:rPr>
        <w:t xml:space="preserve">As of mid-May 2026, the projection system was producing the following lines for elite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i w:val="false"/>
                <w:iCs w:val="false"/>
                <w:color w:val="FFFFFF"/>
                <w:sz w:val="20"/>
                <w:szCs w:val="20"/>
              </w:rPr>
              <w:t xml:space="preserve">Player</w:t>
            </w:r>
          </w:p>
        </w:tc>
        <w:tc>
          <w:tcPr>
            <w:tcW w:type="dxa" w:w="18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FP Rank</w:t>
            </w:r>
          </w:p>
        </w:tc>
        <w:tc>
          <w:tcPr>
            <w:tcW w:type="dxa" w:w="18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Career AVG</w:t>
            </w:r>
          </w:p>
        </w:tc>
        <w:tc>
          <w:tcPr>
            <w:tcW w:type="dxa" w:w="18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Projected AVG</w:t>
            </w:r>
          </w:p>
        </w:tc>
        <w:tc>
          <w:tcPr>
            <w:tcW w:type="dxa" w:w="17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Gap</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José Ramírez</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7</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.270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.239</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B22222"/>
                <w:sz w:val="20"/>
                <w:szCs w:val="20"/>
              </w:rPr>
              <w:t xml:space="preserve">−31 pts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Juan Soto</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5</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.282</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.232</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B22222"/>
                <w:sz w:val="20"/>
                <w:szCs w:val="20"/>
              </w:rPr>
              <w:t xml:space="preserve">−50 pts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i w:val="false"/>
                <w:iCs w:val="false"/>
                <w:color w:val="000000"/>
                <w:sz w:val="20"/>
                <w:szCs w:val="20"/>
              </w:rPr>
              <w:t xml:space="preserve">Corbin Carroll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8</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.248</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.219</w:t>
            </w:r>
          </w:p>
        </w:tc>
        <w:tc>
          <w:tcPr>
            <w:tcW w:type="dxa" w:w="1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B22222"/>
                <w:sz w:val="20"/>
                <w:szCs w:val="20"/>
              </w:rPr>
              <w:t xml:space="preserve">−29 pts</w:t>
            </w:r>
          </w:p>
        </w:tc>
      </w:tr>
    </w:tbl>
    <w:p>
      <w:pPr>
        <w:spacing w:after="160"/>
        <w:jc w:val="left"/>
      </w:pPr>
      <w:r>
        <w:rPr>
          <w:b w:val="false"/>
          <w:bCs w:val="false"/>
          <w:i w:val="false"/>
          <w:iCs w:val="false"/>
          <w:color w:val="000000"/>
          <w:sz w:val="22"/>
          <w:szCs w:val="22"/>
        </w:rPr>
        <w:t xml:space="preserve">None of these projections are defensible against career data. Ramírez had not posted an AVG below .258 in any season since 2017. Soto had never posted below .264. The projection system was treating early-season noise as predictive signal.</w:t>
      </w:r>
    </w:p>
    <w:p>
      <w:pPr>
        <w:pStyle w:val="Heading2"/>
        <w:spacing w:after="160" w:before="280"/>
      </w:pPr>
      <w:r>
        <w:rPr>
          <w:b/>
          <w:bCs/>
          <w:color w:val="2E5984"/>
          <w:sz w:val="26"/>
          <w:szCs w:val="26"/>
        </w:rPr>
        <w:t xml:space="preserve">11.2  Career Blend Methodology</w:t>
      </w:r>
    </w:p>
    <w:p>
      <w:pPr>
        <w:spacing w:after="160"/>
        <w:jc w:val="left"/>
      </w:pPr>
      <w:r>
        <w:rPr>
          <w:b w:val="false"/>
          <w:bCs w:val="false"/>
          <w:i w:val="false"/>
          <w:iCs w:val="false"/>
          <w:color w:val="000000"/>
          <w:sz w:val="22"/>
          <w:szCs w:val="22"/>
        </w:rPr>
        <w:t xml:space="preserve">The pedigree override layer applies a weighted blend of career averages and current-year projections for flagged elite players:</w:t>
      </w:r>
    </w:p>
    <w:p>
      <w:pPr>
        <w:spacing w:after="160"/>
        <w:jc w:val="left"/>
      </w:pPr>
      <w:r>
        <w:rPr>
          <w:b/>
          <w:bCs/>
          <w:i w:val="false"/>
          <w:iCs w:val="false"/>
          <w:color w:val="000000"/>
          <w:sz w:val="22"/>
          <w:szCs w:val="22"/>
        </w:rPr>
        <w:t xml:space="preserve">blended_stat = (blend_weight × career_avg) + ((1 − blend_weight) × proj_stat)</w:t>
      </w:r>
    </w:p>
    <w:p>
      <w:pPr>
        <w:spacing w:after="160"/>
        <w:jc w:val="left"/>
      </w:pPr>
      <w:r>
        <w:rPr>
          <w:b w:val="false"/>
          <w:bCs w:val="false"/>
          <w:i w:val="false"/>
          <w:iCs w:val="false"/>
          <w:color w:val="000000"/>
          <w:sz w:val="22"/>
          <w:szCs w:val="22"/>
        </w:rPr>
        <w:t xml:space="preserve">Blend weights are set per-player based on the severity of the projection-vs-career divergence. Default weights:</w:t>
      </w:r>
    </w:p>
    <w:p>
      <w:pPr>
        <w:pStyle w:val="ListParagraph"/>
        <w:numPr>
          <w:ilvl w:val="0"/>
          <w:numId w:val="2"/>
        </w:numPr>
        <w:spacing w:after="80"/>
      </w:pPr>
      <w:r>
        <w:rPr>
          <w:sz w:val="22"/>
          <w:szCs w:val="22"/>
        </w:rPr>
        <w:t xml:space="preserve">Ramírez: 0.65 career / 0.35 current — moderate slow start, established 8-year track record</w:t>
      </w:r>
    </w:p>
    <w:p>
      <w:pPr>
        <w:pStyle w:val="ListParagraph"/>
        <w:numPr>
          <w:ilvl w:val="0"/>
          <w:numId w:val="2"/>
        </w:numPr>
        <w:spacing w:after="80"/>
      </w:pPr>
      <w:r>
        <w:rPr>
          <w:sz w:val="22"/>
          <w:szCs w:val="22"/>
        </w:rPr>
        <w:t xml:space="preserve">Soto: 0.70 career / 0.30 current — severe PA projection corruption (412 PA for FP#5 player)</w:t>
      </w:r>
    </w:p>
    <w:p>
      <w:pPr>
        <w:pStyle w:val="ListParagraph"/>
        <w:numPr>
          <w:ilvl w:val="0"/>
          <w:numId w:val="2"/>
        </w:numPr>
        <w:spacing w:after="80"/>
      </w:pPr>
      <w:r>
        <w:rPr>
          <w:sz w:val="22"/>
          <w:szCs w:val="22"/>
        </w:rPr>
        <w:t xml:space="preserve">Carroll: 0.55 career / 0.45 current — younger player with less career stability, lighter blend</w:t>
      </w:r>
    </w:p>
    <w:p>
      <w:pPr>
        <w:spacing w:after="160"/>
        <w:jc w:val="left"/>
      </w:pPr>
      <w:r>
        <w:rPr>
          <w:b w:val="false"/>
          <w:bCs w:val="false"/>
          <w:i w:val="false"/>
          <w:iCs w:val="false"/>
          <w:color w:val="000000"/>
          <w:sz w:val="22"/>
          <w:szCs w:val="22"/>
        </w:rPr>
        <w:t xml:space="preserve">After blending, Ramírez's projection moves from .239 AVG / 19 HR / 86 R / 87 RBI to .259 AVG / 24 HR / 95 R / 95 RBI — restoring him to a credible top-10 roto profile. Crucially, the override is applied before breadth scoring, so the breadth multiplier correctly fires once thresholds are met.</w:t>
      </w:r>
    </w:p>
    <w:p>
      <w:pPr>
        <w:pStyle w:val="Heading2"/>
        <w:spacing w:after="160" w:before="280"/>
      </w:pPr>
      <w:r>
        <w:rPr>
          <w:b/>
          <w:bCs/>
          <w:color w:val="2E5984"/>
          <w:sz w:val="26"/>
          <w:szCs w:val="26"/>
        </w:rPr>
        <w:t xml:space="preserve">11.3  Eligibility Criteria</w:t>
      </w:r>
    </w:p>
    <w:p>
      <w:pPr>
        <w:spacing w:after="160"/>
        <w:jc w:val="left"/>
      </w:pPr>
      <w:r>
        <w:rPr>
          <w:b w:val="false"/>
          <w:bCs w:val="false"/>
          <w:i w:val="false"/>
          <w:iCs w:val="false"/>
          <w:color w:val="000000"/>
          <w:sz w:val="22"/>
          <w:szCs w:val="22"/>
        </w:rPr>
        <w:t xml:space="preserve">Overrides are not applied automatically. A player must meet three conditions to be eligible:</w:t>
      </w:r>
    </w:p>
    <w:p>
      <w:pPr>
        <w:pStyle w:val="ListParagraph"/>
        <w:numPr>
          <w:ilvl w:val="0"/>
          <w:numId w:val="2"/>
        </w:numPr>
        <w:spacing w:after="80"/>
      </w:pPr>
      <w:r>
        <w:rPr>
          <w:sz w:val="22"/>
          <w:szCs w:val="22"/>
        </w:rPr>
        <w:t xml:space="preserve">Multi-year track record (minimum 3 full seasons of MLB performance at relevant production levels)</w:t>
      </w:r>
    </w:p>
    <w:p>
      <w:pPr>
        <w:pStyle w:val="ListParagraph"/>
        <w:numPr>
          <w:ilvl w:val="0"/>
          <w:numId w:val="2"/>
        </w:numPr>
        <w:spacing w:after="80"/>
      </w:pPr>
      <w:r>
        <w:rPr>
          <w:sz w:val="22"/>
          <w:szCs w:val="22"/>
        </w:rPr>
        <w:t xml:space="preserve">Top-15 FantasyPros consensus ranking (proxy for industry expert agreement on true talent)</w:t>
      </w:r>
    </w:p>
    <w:p>
      <w:pPr>
        <w:pStyle w:val="ListParagraph"/>
        <w:numPr>
          <w:ilvl w:val="0"/>
          <w:numId w:val="2"/>
        </w:numPr>
        <w:spacing w:after="80"/>
      </w:pPr>
      <w:r>
        <w:rPr>
          <w:sz w:val="22"/>
          <w:szCs w:val="22"/>
        </w:rPr>
        <w:t xml:space="preserve">No injury or structural decline factor identified (verified manually before applying override)</w:t>
      </w:r>
    </w:p>
    <w:p>
      <w:pPr>
        <w:spacing w:after="160"/>
        <w:jc w:val="left"/>
      </w:pPr>
      <w:r>
        <w:rPr>
          <w:b w:val="false"/>
          <w:bCs w:val="false"/>
          <w:i w:val="false"/>
          <w:iCs w:val="false"/>
          <w:color w:val="000000"/>
          <w:sz w:val="22"/>
          <w:szCs w:val="22"/>
        </w:rPr>
        <w:t xml:space="preserve">The override layer is a deliberate concession to model limitation, not a feature. The honest framing: in mid-season conditions with small samples and noisy projections, career true-talent data carries more signal than 6 weeks of fresh data for established elite players. The override layer makes this trade-off explicit and auditable — every adjusted player is logged in a separate override file with reasoning.</w:t>
      </w:r>
    </w:p>
    <w:p>
      <w:pPr>
        <w:pStyle w:val="Heading2"/>
        <w:spacing w:after="160" w:before="280"/>
      </w:pPr>
      <w:r>
        <w:rPr>
          <w:b/>
          <w:bCs/>
          <w:color w:val="2E5984"/>
          <w:sz w:val="26"/>
          <w:szCs w:val="26"/>
        </w:rPr>
        <w:t xml:space="preserve">11.4  Future Work — Option A Architecture</w:t>
      </w:r>
    </w:p>
    <w:p>
      <w:pPr>
        <w:spacing w:after="160"/>
        <w:jc w:val="left"/>
      </w:pPr>
      <w:r>
        <w:rPr>
          <w:b w:val="false"/>
          <w:bCs w:val="false"/>
          <w:i w:val="false"/>
          <w:iCs w:val="false"/>
          <w:color w:val="000000"/>
          <w:sz w:val="22"/>
          <w:szCs w:val="22"/>
        </w:rPr>
        <w:t xml:space="preserve">The current implementation is a manual override list (5–10 players). The intended long-term architecture is a fully automated career-blend system that operates on every player with sufficient historical data, with blend weights calculated from a continuous function of (years of MLB performance, FP rank tier, current-year sample size). This is planned for the mid-season architecture build (Session 62) along with rolling 4-week window signals.</w:t>
      </w:r>
    </w:p>
    <w:p>
      <w:pPr>
        <w:pBdr>
          <w:bottom w:val="single" w:color="1F3A5F" w:sz="6" w:space="1"/>
        </w:pBdr>
        <w:spacing w:after="240"/>
      </w:pPr>
    </w:p>
    <w:p>
      <w:pPr>
        <w:pStyle w:val="Heading1"/>
        <w:spacing w:after="200" w:before="360"/>
      </w:pPr>
      <w:r>
        <w:rPr>
          <w:b/>
          <w:bCs/>
          <w:color w:val="1F3A5F"/>
          <w:sz w:val="32"/>
          <w:szCs w:val="32"/>
        </w:rPr>
        <w:t xml:space="preserve">12. Trade Analyzer Refinements (V2)</w:t>
      </w:r>
    </w:p>
    <w:p>
      <w:pPr>
        <w:spacing w:after="160"/>
        <w:jc w:val="left"/>
      </w:pPr>
      <w:r>
        <w:rPr>
          <w:b w:val="false"/>
          <w:bCs w:val="false"/>
          <w:i w:val="false"/>
          <w:iCs w:val="false"/>
          <w:color w:val="000000"/>
          <w:sz w:val="22"/>
          <w:szCs w:val="22"/>
        </w:rPr>
        <w:t xml:space="preserve">The trade analyzer is the user-facing application of the breadth model. Beta testing surfaced several design issues that have been addressed in Version 2.</w:t>
      </w:r>
    </w:p>
    <w:p>
      <w:pPr>
        <w:pStyle w:val="Heading2"/>
        <w:spacing w:after="160" w:before="280"/>
      </w:pPr>
      <w:r>
        <w:rPr>
          <w:b/>
          <w:bCs/>
          <w:color w:val="2E5984"/>
          <w:sz w:val="26"/>
          <w:szCs w:val="26"/>
        </w:rPr>
        <w:t xml:space="preserve">12.1  Replacement-Level Penalty for Unequal Trades</w:t>
      </w:r>
    </w:p>
    <w:p>
      <w:pPr>
        <w:spacing w:after="160"/>
        <w:jc w:val="left"/>
      </w:pPr>
      <w:r>
        <w:rPr>
          <w:b w:val="false"/>
          <w:bCs w:val="false"/>
          <w:i w:val="false"/>
          <w:iCs w:val="false"/>
          <w:color w:val="000000"/>
          <w:sz w:val="22"/>
          <w:szCs w:val="22"/>
        </w:rPr>
        <w:t xml:space="preserve">When trade sides have unequal player counts (the 2-for-1 case), the previous version treated extra players as additive value — implying that more players is always better. In practice, the opposite is often true: a 2-for-1 in a shallow league forces the recipient to drop a roster spot, diluting their overall starter quality. Version 2 applies a league-size-adjusted discount to extra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League Size</w:t>
            </w:r>
          </w:p>
        </w:tc>
        <w:tc>
          <w:tcPr>
            <w:tcW w:type="dxa" w:w="312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Extra Player Value</w:t>
            </w:r>
          </w:p>
        </w:tc>
        <w:tc>
          <w:tcPr>
            <w:tcW w:type="dxa" w:w="312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i w:val="false"/>
                <w:iCs w:val="false"/>
                <w:color w:val="FFFFFF"/>
                <w:sz w:val="20"/>
                <w:szCs w:val="20"/>
              </w:rPr>
              <w:t xml:space="preserve">Reasoning</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10–12 teams (shallow)</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65% of surplus</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Replacement readily available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13–14 teams (medium)</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80% of surplus</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Moderate replacement value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val="false"/>
                <w:iCs w:val="false"/>
                <w:color w:val="000000"/>
                <w:sz w:val="20"/>
                <w:szCs w:val="20"/>
              </w:rPr>
              <w:t xml:space="preserve">15+ teams (deep)</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i w:val="false"/>
                <w:iCs w:val="false"/>
                <w:color w:val="000000"/>
                <w:sz w:val="20"/>
                <w:szCs w:val="20"/>
              </w:rPr>
              <w:t xml:space="preserve">95% of surplus</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color w:val="000000"/>
                <w:sz w:val="20"/>
                <w:szCs w:val="20"/>
              </w:rPr>
              <w:t xml:space="preserve">Roster scarcity meaningful</w:t>
            </w:r>
          </w:p>
        </w:tc>
      </w:tr>
    </w:tbl>
    <w:p>
      <w:pPr>
        <w:pStyle w:val="Heading2"/>
        <w:spacing w:after="160" w:before="280"/>
      </w:pPr>
      <w:r>
        <w:rPr>
          <w:b/>
          <w:bCs/>
          <w:color w:val="2E5984"/>
          <w:sz w:val="26"/>
          <w:szCs w:val="26"/>
        </w:rPr>
        <w:t xml:space="preserve">12.2  Superstar Irreplaceability Flag</w:t>
      </w:r>
    </w:p>
    <w:p>
      <w:pPr>
        <w:spacing w:after="160"/>
        <w:jc w:val="left"/>
      </w:pPr>
      <w:r>
        <w:rPr>
          <w:b w:val="false"/>
          <w:bCs w:val="false"/>
          <w:i w:val="false"/>
          <w:iCs w:val="false"/>
          <w:color w:val="000000"/>
          <w:sz w:val="22"/>
          <w:szCs w:val="22"/>
        </w:rPr>
        <w:t xml:space="preserve">When the giving side has exactly one player AND that player is FP-ranked in the top 10 overall, an explicit warning surfaces in the analysis output:</w:t>
      </w:r>
    </w:p>
    <w:p>
      <w:pPr>
        <w:spacing w:after="160"/>
        <w:jc w:val="left"/>
      </w:pPr>
      <w:r>
        <w:rPr>
          <w:b w:val="false"/>
          <w:bCs w:val="false"/>
          <w:i/>
          <w:iCs/>
          <w:color w:val="000000"/>
          <w:sz w:val="22"/>
          <w:szCs w:val="22"/>
        </w:rPr>
        <w:t xml:space="preserve">"Trading away a top-10 overall player. These are irreplaceable in most leagues — verify the return matches that ceiling."</w:t>
      </w:r>
    </w:p>
    <w:p>
      <w:pPr>
        <w:spacing w:after="160"/>
        <w:jc w:val="left"/>
      </w:pPr>
      <w:r>
        <w:rPr>
          <w:b w:val="false"/>
          <w:bCs w:val="false"/>
          <w:i w:val="false"/>
          <w:iCs w:val="false"/>
          <w:color w:val="000000"/>
          <w:sz w:val="22"/>
          <w:szCs w:val="22"/>
        </w:rPr>
        <w:t xml:space="preserve">A softer note appears for fp_rank 11–25. The intent is to anchor the recipient on a real-world constraint: elite players don't appear on the waiver wire, and replacing their production through a hypothetical second trade is unlikely. The flag does not change the surplus calculation — it adds a qualitative gate to the quantitative verdict.</w:t>
      </w:r>
    </w:p>
    <w:p>
      <w:pPr>
        <w:pStyle w:val="Heading2"/>
        <w:spacing w:after="160" w:before="280"/>
      </w:pPr>
      <w:r>
        <w:rPr>
          <w:b/>
          <w:bCs/>
          <w:color w:val="2E5984"/>
          <w:sz w:val="26"/>
          <w:szCs w:val="26"/>
        </w:rPr>
        <w:t xml:space="preserve">12.3  Cross-Position Net Stats Display</w:t>
      </w:r>
    </w:p>
    <w:p>
      <w:pPr>
        <w:spacing w:after="160"/>
        <w:jc w:val="left"/>
      </w:pPr>
      <w:r>
        <w:rPr>
          <w:b w:val="false"/>
          <w:bCs w:val="false"/>
          <w:i w:val="false"/>
          <w:iCs w:val="false"/>
          <w:color w:val="000000"/>
          <w:sz w:val="22"/>
          <w:szCs w:val="22"/>
        </w:rPr>
        <w:t xml:space="preserve">The trade analyzer previously displayed AVG, ERA, and WHIP in the NET STATS row. For cross-position trades (giving a pitcher to receive a hitter, or vice versa), these rate stats were misleading — they appeared as gains or losses without acknowledging that the trader would replace the lost player from waivers, fundamentally changing the rate stat impact. Version 2 displays only counting stats in the NET STATS row (HR, R, RBI, SB for hitters; W, K, SV+H for pitchers). The model still uses rate stats internally for surplus calculation — only the display changed.</w:t>
      </w:r>
    </w:p>
    <w:p>
      <w:pPr>
        <w:pStyle w:val="Heading2"/>
        <w:spacing w:after="160" w:before="280"/>
      </w:pPr>
      <w:r>
        <w:rPr>
          <w:b/>
          <w:bCs/>
          <w:color w:val="2E5984"/>
          <w:sz w:val="26"/>
          <w:szCs w:val="26"/>
        </w:rPr>
        <w:t xml:space="preserve">12.4  Neutral Verdict Suppression</w:t>
      </w:r>
    </w:p>
    <w:p>
      <w:pPr>
        <w:spacing w:after="160"/>
        <w:jc w:val="left"/>
      </w:pPr>
      <w:r>
        <w:rPr>
          <w:b w:val="false"/>
          <w:bCs w:val="false"/>
          <w:i w:val="false"/>
          <w:iCs w:val="false"/>
          <w:color w:val="000000"/>
          <w:sz w:val="22"/>
          <w:szCs w:val="22"/>
        </w:rPr>
        <w:t xml:space="preserve">Verdict badges on individual players within the trade panel previously displayed 'Neutral' for players without strong luck signals. This created visual noise without actionable information. Version 2 displays badges only for Buy Low or Sell High signals — players in the Neutral or Slight tiers display no badge.</w:t>
      </w:r>
    </w:p>
    <w:p>
      <w:pPr>
        <w:pStyle w:val="Heading2"/>
        <w:spacing w:after="160" w:before="280"/>
      </w:pPr>
      <w:r>
        <w:rPr>
          <w:b/>
          <w:bCs/>
          <w:color w:val="2E5984"/>
          <w:sz w:val="26"/>
          <w:szCs w:val="26"/>
        </w:rPr>
        <w:t xml:space="preserve">12.5  Two-Way Player Handling</w:t>
      </w:r>
    </w:p>
    <w:p>
      <w:pPr>
        <w:spacing w:after="160"/>
        <w:jc w:val="left"/>
      </w:pPr>
      <w:r>
        <w:rPr>
          <w:b w:val="false"/>
          <w:bCs w:val="false"/>
          <w:i w:val="false"/>
          <w:iCs w:val="false"/>
          <w:color w:val="000000"/>
          <w:sz w:val="22"/>
          <w:szCs w:val="22"/>
        </w:rPr>
        <w:t xml:space="preserve">Shohei Ohtani's dual hitter/pitcher eligibility created duplicate entries in the player database, causing the trade search to surface both a 'DH Ohtani' and 'SP Ohtani' with conflicting verdicts. Version 2 deduplicates two-way players by retaining the entry where their primary production occurs (hitter for Ohtani). The pitcher entry is dropped from the trade tool entirely. This is currently the only two-way player in the database; the deduplication logic generalizes to handle future cases.</w:t>
      </w:r>
    </w:p>
    <w:p>
      <w:pPr>
        <w:pBdr>
          <w:bottom w:val="single" w:color="1F3A5F" w:sz="6" w:space="1"/>
        </w:pBdr>
        <w:spacing w:after="240"/>
      </w:pPr>
    </w:p>
    <w:p>
      <w:pPr>
        <w:pStyle w:val="Heading1"/>
        <w:spacing w:after="200" w:before="360"/>
      </w:pPr>
      <w:r>
        <w:rPr>
          <w:b/>
          <w:bCs/>
          <w:color w:val="1F3A5F"/>
          <w:sz w:val="32"/>
          <w:szCs w:val="32"/>
        </w:rPr>
        <w:t xml:space="preserve">13. Distribution Framework and Beta Program</w:t>
      </w:r>
    </w:p>
    <w:p>
      <w:pPr>
        <w:pStyle w:val="Heading2"/>
        <w:spacing w:after="160" w:before="280"/>
      </w:pPr>
      <w:r>
        <w:rPr>
          <w:b/>
          <w:bCs/>
          <w:color w:val="2E5984"/>
          <w:sz w:val="26"/>
          <w:szCs w:val="26"/>
        </w:rPr>
        <w:t xml:space="preserve">13.1  Substack as the Primary Distribution Channel</w:t>
      </w:r>
    </w:p>
    <w:p>
      <w:pPr>
        <w:spacing w:after="160"/>
        <w:jc w:val="left"/>
      </w:pPr>
      <w:r>
        <w:rPr>
          <w:b w:val="false"/>
          <w:bCs w:val="false"/>
          <w:i w:val="false"/>
          <w:iCs w:val="false"/>
          <w:color w:val="000000"/>
          <w:sz w:val="22"/>
          <w:szCs w:val="22"/>
        </w:rPr>
        <w:t xml:space="preserve">The Signal Fantasy publishes weekly Buy Low / Sell High signals and trade analysis at signalfantasy.substack.com. The publication launched April 22, 2026. Growth trajectory as of mid-May:</w:t>
      </w:r>
    </w:p>
    <w:p>
      <w:pPr>
        <w:pStyle w:val="ListParagraph"/>
        <w:numPr>
          <w:ilvl w:val="0"/>
          <w:numId w:val="2"/>
        </w:numPr>
        <w:spacing w:after="80"/>
      </w:pPr>
      <w:r>
        <w:rPr>
          <w:sz w:val="22"/>
          <w:szCs w:val="22"/>
        </w:rPr>
        <w:t xml:space="preserve">Week 1 (April 22): launch, foundational subscriber base</w:t>
      </w:r>
    </w:p>
    <w:p>
      <w:pPr>
        <w:pStyle w:val="ListParagraph"/>
        <w:numPr>
          <w:ilvl w:val="0"/>
          <w:numId w:val="2"/>
        </w:numPr>
        <w:spacing w:after="80"/>
      </w:pPr>
      <w:r>
        <w:rPr>
          <w:sz w:val="22"/>
          <w:szCs w:val="22"/>
        </w:rPr>
        <w:t xml:space="preserve">Week 4 (May 13): 69 subscribers at article publication, 78 by end-of-day after Reddit cross-promotion</w:t>
      </w:r>
    </w:p>
    <w:p>
      <w:pPr>
        <w:pStyle w:val="ListParagraph"/>
        <w:numPr>
          <w:ilvl w:val="0"/>
          <w:numId w:val="2"/>
        </w:numPr>
        <w:spacing w:after="80"/>
      </w:pPr>
      <w:r>
        <w:rPr>
          <w:sz w:val="22"/>
          <w:szCs w:val="22"/>
        </w:rPr>
        <w:t xml:space="preserve">Sustained organic email open rate: ~28% within first 4 hours of publication</w:t>
      </w:r>
    </w:p>
    <w:p>
      <w:pPr>
        <w:pStyle w:val="Heading2"/>
        <w:spacing w:after="160" w:before="280"/>
      </w:pPr>
      <w:r>
        <w:rPr>
          <w:b/>
          <w:bCs/>
          <w:color w:val="2E5984"/>
          <w:sz w:val="26"/>
          <w:szCs w:val="26"/>
        </w:rPr>
        <w:t xml:space="preserve">13.2  Content Cadence Strategy</w:t>
      </w:r>
    </w:p>
    <w:p>
      <w:pPr>
        <w:spacing w:after="160"/>
        <w:jc w:val="left"/>
      </w:pPr>
      <w:r>
        <w:rPr>
          <w:b w:val="false"/>
          <w:bCs w:val="false"/>
          <w:i w:val="false"/>
          <w:iCs w:val="false"/>
          <w:color w:val="000000"/>
          <w:sz w:val="22"/>
          <w:szCs w:val="22"/>
        </w:rPr>
        <w:t xml:space="preserve">Two-lane weekly content calendar adopted as of Session 61:</w:t>
      </w:r>
    </w:p>
    <w:p>
      <w:pPr>
        <w:pStyle w:val="ListParagraph"/>
        <w:numPr>
          <w:ilvl w:val="0"/>
          <w:numId w:val="2"/>
        </w:numPr>
        <w:spacing w:after="80"/>
      </w:pPr>
      <w:r>
        <w:rPr>
          <w:sz w:val="22"/>
          <w:szCs w:val="22"/>
        </w:rPr>
        <w:t xml:space="preserve">Monday — Process and methodology articles (career portfolio focus): how the model works, what went wrong, what was learned. Cross-promoted to r/fantasybaseball with Substack link.</w:t>
      </w:r>
    </w:p>
    <w:p>
      <w:pPr>
        <w:pStyle w:val="ListParagraph"/>
        <w:numPr>
          <w:ilvl w:val="0"/>
          <w:numId w:val="2"/>
        </w:numPr>
        <w:spacing w:after="80"/>
      </w:pPr>
      <w:r>
        <w:rPr>
          <w:sz w:val="22"/>
          <w:szCs w:val="22"/>
        </w:rPr>
        <w:t xml:space="preserve">Wednesday — Signals articles (fantasy product focus): current Buy Low / Sell High calls, trade analysis, tracker updates. Cross-promoted to r/fantasybaseball with Substack link.</w:t>
      </w:r>
    </w:p>
    <w:p>
      <w:pPr>
        <w:spacing w:after="160"/>
        <w:jc w:val="left"/>
      </w:pPr>
      <w:r>
        <w:rPr>
          <w:b w:val="false"/>
          <w:bCs w:val="false"/>
          <w:i w:val="false"/>
          <w:iCs w:val="false"/>
          <w:color w:val="000000"/>
          <w:sz w:val="22"/>
          <w:szCs w:val="22"/>
        </w:rPr>
        <w:t xml:space="preserve">This sequencing — Substack first, Reddit second with link — was selected after Week 4 data confirmed that Reddit-driven discovery converts well to subscribers when readers must click through to access full content. The previous approach (Reddit first with full content, Substack second) cannibalized subscription conversion.</w:t>
      </w:r>
    </w:p>
    <w:p>
      <w:pPr>
        <w:pStyle w:val="Heading2"/>
        <w:spacing w:after="160" w:before="280"/>
      </w:pPr>
      <w:r>
        <w:rPr>
          <w:b/>
          <w:bCs/>
          <w:color w:val="2E5984"/>
          <w:sz w:val="26"/>
          <w:szCs w:val="26"/>
        </w:rPr>
        <w:t xml:space="preserve">13.3  Beta Trade Tool Program</w:t>
      </w:r>
    </w:p>
    <w:p>
      <w:pPr>
        <w:spacing w:after="160"/>
        <w:jc w:val="left"/>
      </w:pPr>
      <w:r>
        <w:rPr>
          <w:b w:val="false"/>
          <w:bCs w:val="false"/>
          <w:i w:val="false"/>
          <w:iCs w:val="false"/>
          <w:color w:val="000000"/>
          <w:sz w:val="22"/>
          <w:szCs w:val="22"/>
        </w:rPr>
        <w:t xml:space="preserve">The trade analyzer is currently in private beta. Beta testers access the tool via GitHub Pages with token-based authentication. The launch criteria for public release:</w:t>
      </w:r>
    </w:p>
    <w:p>
      <w:pPr>
        <w:pStyle w:val="ListParagraph"/>
        <w:numPr>
          <w:ilvl w:val="0"/>
          <w:numId w:val="2"/>
        </w:numPr>
        <w:spacing w:after="80"/>
      </w:pPr>
      <w:r>
        <w:rPr>
          <w:sz w:val="22"/>
          <w:szCs w:val="22"/>
        </w:rPr>
        <w:t xml:space="preserve">All Version 2 architectural changes committed and stress-tested</w:t>
      </w:r>
    </w:p>
    <w:p>
      <w:pPr>
        <w:pStyle w:val="ListParagraph"/>
        <w:numPr>
          <w:ilvl w:val="0"/>
          <w:numId w:val="2"/>
        </w:numPr>
        <w:spacing w:after="80"/>
      </w:pPr>
      <w:r>
        <w:rPr>
          <w:sz w:val="22"/>
          <w:szCs w:val="22"/>
        </w:rPr>
        <w:t xml:space="preserve">Roto calibration validated against expert consensus rankings (FantasyPros ROS)</w:t>
      </w:r>
    </w:p>
    <w:p>
      <w:pPr>
        <w:pStyle w:val="ListParagraph"/>
        <w:numPr>
          <w:ilvl w:val="0"/>
          <w:numId w:val="2"/>
        </w:numPr>
        <w:spacing w:after="80"/>
      </w:pPr>
      <w:r>
        <w:rPr>
          <w:sz w:val="22"/>
          <w:szCs w:val="22"/>
        </w:rPr>
        <w:t xml:space="preserve">Pedigree override system covering 5–10 elite player edge cases</w:t>
      </w:r>
    </w:p>
    <w:p>
      <w:pPr>
        <w:pStyle w:val="ListParagraph"/>
        <w:numPr>
          <w:ilvl w:val="0"/>
          <w:numId w:val="2"/>
        </w:numPr>
        <w:spacing w:after="80"/>
      </w:pPr>
      <w:r>
        <w:rPr>
          <w:sz w:val="22"/>
          <w:szCs w:val="22"/>
        </w:rPr>
        <w:t xml:space="preserve">Beta feedback incorporated from 3–5 active users</w:t>
      </w:r>
    </w:p>
    <w:p>
      <w:pPr>
        <w:pStyle w:val="Heading2"/>
        <w:spacing w:after="160" w:before="280"/>
      </w:pPr>
      <w:r>
        <w:rPr>
          <w:b/>
          <w:bCs/>
          <w:color w:val="2E5984"/>
          <w:sz w:val="26"/>
          <w:szCs w:val="26"/>
        </w:rPr>
        <w:t xml:space="preserve">13.4  Licensing</w:t>
      </w:r>
    </w:p>
    <w:p>
      <w:pPr>
        <w:spacing w:after="160"/>
        <w:jc w:val="left"/>
      </w:pPr>
      <w:r>
        <w:rPr>
          <w:b w:val="false"/>
          <w:bCs w:val="false"/>
          <w:i w:val="false"/>
          <w:iCs w:val="false"/>
          <w:color w:val="000000"/>
          <w:sz w:val="22"/>
          <w:szCs w:val="22"/>
        </w:rPr>
        <w:t xml:space="preserve">The Signal Fantasy Pipeline codebase is published under Business Source License 1.1 with a Change Date of May 13, 2029, converting to MIT license. Commercial use is prohibited until the change date. Personal, educational, and non-commercial research use is permitted. This licensing structure preserves the methodology's commercial value while supporting transparency and code review for portfolio and academic purposes.</w:t>
      </w:r>
    </w:p>
    <w:p>
      <w:pPr>
        <w:pBdr>
          <w:bottom w:val="single" w:color="1F3A5F" w:sz="6" w:space="1"/>
        </w:pBdr>
        <w:spacing w:after="240"/>
      </w:pPr>
    </w:p>
    <w:p>
      <w:pPr>
        <w:pStyle w:val="Heading1"/>
        <w:spacing w:after="200" w:before="360"/>
      </w:pPr>
      <w:r>
        <w:rPr>
          <w:b/>
          <w:bCs/>
          <w:color w:val="1F3A5F"/>
          <w:sz w:val="32"/>
          <w:szCs w:val="32"/>
        </w:rPr>
        <w:t xml:space="preserve">14. Methodology Lessons (V2)</w:t>
      </w:r>
    </w:p>
    <w:p>
      <w:pPr>
        <w:spacing w:after="160"/>
        <w:jc w:val="left"/>
      </w:pPr>
      <w:r>
        <w:rPr>
          <w:b w:val="false"/>
          <w:bCs w:val="false"/>
          <w:i w:val="false"/>
          <w:iCs w:val="false"/>
          <w:color w:val="000000"/>
          <w:sz w:val="22"/>
          <w:szCs w:val="22"/>
        </w:rPr>
        <w:t xml:space="preserve">Version 2 was not produced in a single design session. It emerged from approximately 60 iterations across two months of development, most of which were failed approaches. Documenting the failures is as important as documenting the final architecture — the dead ends explain why the current design looks the way it does.</w:t>
      </w:r>
    </w:p>
    <w:p>
      <w:pPr>
        <w:pStyle w:val="Heading2"/>
        <w:spacing w:after="160" w:before="280"/>
      </w:pPr>
      <w:r>
        <w:rPr>
          <w:b/>
          <w:bCs/>
          <w:color w:val="2E5984"/>
          <w:sz w:val="26"/>
          <w:szCs w:val="26"/>
        </w:rPr>
        <w:t xml:space="preserve">14.1  The Sanchez Invariant</w:t>
      </w:r>
    </w:p>
    <w:p>
      <w:pPr>
        <w:spacing w:after="160"/>
        <w:jc w:val="left"/>
      </w:pPr>
      <w:r>
        <w:rPr>
          <w:b w:val="false"/>
          <w:bCs w:val="false"/>
          <w:i w:val="false"/>
          <w:iCs w:val="false"/>
          <w:color w:val="000000"/>
          <w:sz w:val="22"/>
          <w:szCs w:val="22"/>
        </w:rPr>
        <w:t xml:space="preserve">The earliest iteration of the model ranked Gary Sanchez as the #1 catcher overall. This produced no error in the code — every calculation was correct given the inputs — but the output was indefensible. The fundamental issue was that the model lacked any sanity check on whether its rankings made baseball sense.</w:t>
      </w:r>
    </w:p>
    <w:p>
      <w:pPr>
        <w:spacing w:after="160"/>
        <w:jc w:val="left"/>
      </w:pPr>
      <w:r>
        <w:rPr>
          <w:b w:val="false"/>
          <w:bCs w:val="false"/>
          <w:i w:val="false"/>
          <w:iCs w:val="false"/>
          <w:color w:val="000000"/>
          <w:sz w:val="22"/>
          <w:szCs w:val="22"/>
        </w:rPr>
        <w:t xml:space="preserve">The fix became a foundational testing principle. The 'Sanchez Invariant' is an automated check that runs on every pipeline execution: it verifies that any player meeting specific exclusion criteria (injured, not on an active roster, having a sub-replacement track record) does not appear in the top tier of any ranking. If the invariant fails, the pipeline halts before producing output.</w:t>
      </w:r>
    </w:p>
    <w:p>
      <w:pPr>
        <w:spacing w:after="160"/>
        <w:jc w:val="left"/>
      </w:pPr>
      <w:r>
        <w:rPr>
          <w:b w:val="false"/>
          <w:bCs w:val="false"/>
          <w:i w:val="false"/>
          <w:iCs w:val="false"/>
          <w:color w:val="000000"/>
          <w:sz w:val="22"/>
          <w:szCs w:val="22"/>
        </w:rPr>
        <w:t xml:space="preserve">This pattern — embedding domain-specific sanity checks as code-level invariants rather than relying on review — generalized to numerous downstream tests:</w:t>
      </w:r>
    </w:p>
    <w:p>
      <w:pPr>
        <w:pStyle w:val="ListParagraph"/>
        <w:numPr>
          <w:ilvl w:val="0"/>
          <w:numId w:val="2"/>
        </w:numPr>
        <w:spacing w:after="80"/>
      </w:pPr>
      <w:r>
        <w:rPr>
          <w:sz w:val="22"/>
          <w:szCs w:val="22"/>
        </w:rPr>
        <w:t xml:space="preserve">Catcher cap invariant: no catcher should rank #1 overall in roto surplus</w:t>
      </w:r>
    </w:p>
    <w:p>
      <w:pPr>
        <w:pStyle w:val="ListParagraph"/>
        <w:numPr>
          <w:ilvl w:val="0"/>
          <w:numId w:val="2"/>
        </w:numPr>
        <w:spacing w:after="80"/>
      </w:pPr>
      <w:r>
        <w:rPr>
          <w:sz w:val="22"/>
          <w:szCs w:val="22"/>
        </w:rPr>
        <w:t xml:space="preserve">Elite consistency invariant: FP top-5 players should generally appear in the top-15 of model output (override or flag if not)</w:t>
      </w:r>
    </w:p>
    <w:p>
      <w:pPr>
        <w:pStyle w:val="ListParagraph"/>
        <w:numPr>
          <w:ilvl w:val="0"/>
          <w:numId w:val="2"/>
        </w:numPr>
        <w:spacing w:after="80"/>
      </w:pPr>
      <w:r>
        <w:rPr>
          <w:sz w:val="22"/>
          <w:szCs w:val="22"/>
        </w:rPr>
        <w:t xml:space="preserve">Two-way deduplication invariant: no player should appear twice in player_values.json</w:t>
      </w:r>
    </w:p>
    <w:p>
      <w:pPr>
        <w:pStyle w:val="ListParagraph"/>
        <w:numPr>
          <w:ilvl w:val="0"/>
          <w:numId w:val="2"/>
        </w:numPr>
        <w:spacing w:after="80"/>
      </w:pPr>
      <w:r>
        <w:rPr>
          <w:sz w:val="22"/>
          <w:szCs w:val="22"/>
        </w:rPr>
        <w:t xml:space="preserve">ROS sanity invariant: blended-projection HR should not exceed full-season career-best for any player</w:t>
      </w:r>
    </w:p>
    <w:p>
      <w:pPr>
        <w:pStyle w:val="Heading2"/>
        <w:spacing w:after="160" w:before="280"/>
      </w:pPr>
      <w:r>
        <w:rPr>
          <w:b/>
          <w:bCs/>
          <w:color w:val="2E5984"/>
          <w:sz w:val="26"/>
          <w:szCs w:val="26"/>
        </w:rPr>
        <w:t xml:space="preserve">14.2  Architectural Failures Worth Documenting</w:t>
      </w:r>
    </w:p>
    <w:p>
      <w:pPr>
        <w:spacing w:after="160"/>
        <w:jc w:val="left"/>
      </w:pPr>
      <w:r>
        <w:rPr>
          <w:b w:val="false"/>
          <w:bCs w:val="false"/>
          <w:i w:val="false"/>
          <w:iCs w:val="false"/>
          <w:color w:val="000000"/>
          <w:sz w:val="22"/>
          <w:szCs w:val="22"/>
        </w:rPr>
        <w:t xml:space="preserve">Five distinct architectural approaches were tried and abandoned before arriving at the Category Breadth Architecture:</w:t>
      </w:r>
    </w:p>
    <w:p>
      <w:pPr>
        <w:spacing w:after="160"/>
        <w:jc w:val="left"/>
      </w:pPr>
      <w:r>
        <w:rPr>
          <w:b/>
          <w:bCs/>
          <w:i w:val="false"/>
          <w:iCs w:val="false"/>
          <w:color w:val="000000"/>
          <w:sz w:val="22"/>
          <w:szCs w:val="22"/>
        </w:rPr>
        <w:t xml:space="preserve">Position-pool ranking (V1). </w:t>
      </w:r>
      <w:r>
        <w:rPr>
          <w:b w:val="false"/>
          <w:bCs w:val="false"/>
          <w:i w:val="false"/>
          <w:iCs w:val="false"/>
          <w:color w:val="000000"/>
          <w:sz w:val="22"/>
          <w:szCs w:val="22"/>
        </w:rPr>
        <w:t xml:space="preserve">Players ranked within position pools with size normalization. Failed due to pool-size bias inflating small pools (1B) and compressing large pools (OF). Abandoned in favor of global ranking.</w:t>
      </w:r>
    </w:p>
    <w:p>
      <w:pPr>
        <w:spacing w:after="160"/>
        <w:jc w:val="left"/>
      </w:pPr>
      <w:r>
        <w:rPr>
          <w:b/>
          <w:bCs/>
          <w:i w:val="false"/>
          <w:iCs w:val="false"/>
          <w:color w:val="000000"/>
          <w:sz w:val="22"/>
          <w:szCs w:val="22"/>
        </w:rPr>
        <w:t xml:space="preserve">Global ranking with category weighting. </w:t>
      </w:r>
      <w:r>
        <w:rPr>
          <w:b w:val="false"/>
          <w:bCs w:val="false"/>
          <w:i w:val="false"/>
          <w:iCs w:val="false"/>
          <w:color w:val="000000"/>
          <w:sz w:val="22"/>
          <w:szCs w:val="22"/>
        </w:rPr>
        <w:t xml:space="preserve">Boosting HR weight to ×2.0 to correct OF compression. Failed by overweighting single-category dominance — Max Muncy and Sal Stewart jumped into the top 5 over balanced 5-category contributors. Abandoned in favor of breadth-multiplier architecture.</w:t>
      </w:r>
    </w:p>
    <w:p>
      <w:pPr>
        <w:spacing w:after="160"/>
        <w:jc w:val="left"/>
      </w:pPr>
      <w:r>
        <w:rPr>
          <w:b/>
          <w:bCs/>
          <w:i w:val="false"/>
          <w:iCs w:val="false"/>
          <w:color w:val="000000"/>
          <w:sz w:val="22"/>
          <w:szCs w:val="22"/>
        </w:rPr>
        <w:t xml:space="preserve">Percentile-based contribution thresholds. </w:t>
      </w:r>
      <w:r>
        <w:rPr>
          <w:b w:val="false"/>
          <w:bCs w:val="false"/>
          <w:i w:val="false"/>
          <w:iCs w:val="false"/>
          <w:color w:val="000000"/>
          <w:sz w:val="22"/>
          <w:szCs w:val="22"/>
        </w:rPr>
        <w:t xml:space="preserve">Players contribute to a category if they exceed the 55th percentile globally. Failed due to pool composition cascading — every gate change rippled through the thresholds unpredictably. Abandoned in favor of fixed raw stat floors.</w:t>
      </w:r>
    </w:p>
    <w:p>
      <w:pPr>
        <w:spacing w:after="160"/>
        <w:jc w:val="left"/>
      </w:pPr>
      <w:r>
        <w:rPr>
          <w:b/>
          <w:bCs/>
          <w:i w:val="false"/>
          <w:iCs w:val="false"/>
          <w:color w:val="000000"/>
          <w:sz w:val="22"/>
          <w:szCs w:val="22"/>
        </w:rPr>
        <w:t xml:space="preserve">Scaling contribution thresholds by FP rank gate. </w:t>
      </w:r>
      <w:r>
        <w:rPr>
          <w:b w:val="false"/>
          <w:bCs w:val="false"/>
          <w:i w:val="false"/>
          <w:iCs w:val="false"/>
          <w:color w:val="000000"/>
          <w:sz w:val="22"/>
          <w:szCs w:val="22"/>
        </w:rPr>
        <w:t xml:space="preserve">Tightening the qualified pool to FP-top-150 to remove low-quality projections. Failed because the resulting elite-only pool made even legitimate top-10 players look below average against their peers. Abandoned in favor of tiered gates (excluded &gt; 200, capped 101–200, full 1–100).</w:t>
      </w:r>
    </w:p>
    <w:p>
      <w:pPr>
        <w:spacing w:after="160"/>
        <w:jc w:val="left"/>
      </w:pPr>
      <w:r>
        <w:rPr>
          <w:b/>
          <w:bCs/>
          <w:i w:val="false"/>
          <w:iCs w:val="false"/>
          <w:color w:val="000000"/>
          <w:sz w:val="22"/>
          <w:szCs w:val="22"/>
        </w:rPr>
        <w:t xml:space="preserve">FPTS-based surplus calculation. </w:t>
      </w:r>
      <w:r>
        <w:rPr>
          <w:b w:val="false"/>
          <w:bCs w:val="false"/>
          <w:i w:val="false"/>
          <w:iCs w:val="false"/>
          <w:color w:val="000000"/>
          <w:sz w:val="22"/>
          <w:szCs w:val="22"/>
        </w:rPr>
        <w:t xml:space="preserve">Direct conversion of projected counting stats into CBS FPTS, then comparing surplus. Failed in roto leagues because FPTS doesn't capture the compounding effect of multi-category contribution. Abandoned in favor of the breadth model for roto formats. FPTS retained as the engine for CBS points league mode.</w:t>
      </w:r>
    </w:p>
    <w:p>
      <w:pPr>
        <w:pStyle w:val="Heading2"/>
        <w:spacing w:after="160" w:before="280"/>
      </w:pPr>
      <w:r>
        <w:rPr>
          <w:b/>
          <w:bCs/>
          <w:color w:val="2E5984"/>
          <w:sz w:val="26"/>
          <w:szCs w:val="26"/>
        </w:rPr>
        <w:t xml:space="preserve">14.3  Operational Principles That Held</w:t>
      </w:r>
    </w:p>
    <w:p>
      <w:pPr>
        <w:spacing w:after="160"/>
        <w:jc w:val="left"/>
      </w:pPr>
      <w:r>
        <w:rPr>
          <w:b w:val="false"/>
          <w:bCs w:val="false"/>
          <w:i w:val="false"/>
          <w:iCs w:val="false"/>
          <w:color w:val="000000"/>
          <w:sz w:val="22"/>
          <w:szCs w:val="22"/>
        </w:rPr>
        <w:t xml:space="preserve">Three operational principles emerged during the iteration cycles and have held without revision:</w:t>
      </w:r>
    </w:p>
    <w:p>
      <w:pPr>
        <w:spacing w:after="160"/>
        <w:jc w:val="left"/>
      </w:pPr>
      <w:r>
        <w:rPr>
          <w:b/>
          <w:bCs/>
          <w:i w:val="false"/>
          <w:iCs w:val="false"/>
          <w:color w:val="000000"/>
          <w:sz w:val="22"/>
          <w:szCs w:val="22"/>
        </w:rPr>
        <w:t xml:space="preserve">Structured A/B testing before every commit. </w:t>
      </w:r>
      <w:r>
        <w:rPr>
          <w:b w:val="false"/>
          <w:bCs w:val="false"/>
          <w:i w:val="false"/>
          <w:iCs w:val="false"/>
          <w:color w:val="000000"/>
          <w:sz w:val="22"/>
          <w:szCs w:val="22"/>
        </w:rPr>
        <w:t xml:space="preserve">Every model change is backtested against the previous version on validation data. If the change does not improve accuracy, it does not ship. This produced the discipline that prevented Version 2 from drifting toward worse outcomes despite the volume of architectural experiments.</w:t>
      </w:r>
    </w:p>
    <w:p>
      <w:pPr>
        <w:spacing w:after="160"/>
        <w:jc w:val="left"/>
      </w:pPr>
      <w:r>
        <w:rPr>
          <w:b/>
          <w:bCs/>
          <w:i w:val="false"/>
          <w:iCs w:val="false"/>
          <w:color w:val="000000"/>
          <w:sz w:val="22"/>
          <w:szCs w:val="22"/>
        </w:rPr>
        <w:t xml:space="preserve">Single source of truth in handoff documentation. </w:t>
      </w:r>
      <w:r>
        <w:rPr>
          <w:b w:val="false"/>
          <w:bCs w:val="false"/>
          <w:i w:val="false"/>
          <w:iCs w:val="false"/>
          <w:color w:val="000000"/>
          <w:sz w:val="22"/>
          <w:szCs w:val="22"/>
        </w:rPr>
        <w:t xml:space="preserve">All session-level decisions, rationales, and commit hashes are documented in a single overwritten markdown file. This created reliable institutional memory across long development cycles and made V2 possible without re-deriving every decision.</w:t>
      </w:r>
    </w:p>
    <w:p>
      <w:pPr>
        <w:spacing w:after="160"/>
        <w:jc w:val="left"/>
      </w:pPr>
      <w:r>
        <w:rPr>
          <w:b/>
          <w:bCs/>
          <w:i w:val="false"/>
          <w:iCs w:val="false"/>
          <w:color w:val="000000"/>
          <w:sz w:val="22"/>
          <w:szCs w:val="22"/>
        </w:rPr>
        <w:t xml:space="preserve">Calibration anchors over absolute metrics. </w:t>
      </w:r>
      <w:r>
        <w:rPr>
          <w:b w:val="false"/>
          <w:bCs w:val="false"/>
          <w:i w:val="false"/>
          <w:iCs w:val="false"/>
          <w:color w:val="000000"/>
          <w:sz w:val="22"/>
          <w:szCs w:val="22"/>
        </w:rPr>
        <w:t xml:space="preserve">Aaron Judge at #1 became the calibration anchor for the trade tool. Every model change was evaluated by whether it preserved Judge as the top-ranked player. This single anchor (consensus #1 overall) proved more reliable than chasing aggregate accuracy metrics, because aggregate metrics can improve while top-tier rankings degrade.</w:t>
      </w:r>
    </w:p>
    <w:p>
      <w:pPr>
        <w:pBdr>
          <w:bottom w:val="single" w:color="1F3A5F" w:sz="6" w:space="1"/>
        </w:pBdr>
        <w:spacing w:after="240"/>
      </w:pPr>
    </w:p>
    <w:p>
      <w:pPr>
        <w:pStyle w:val="Heading1"/>
        <w:spacing w:after="200" w:before="360"/>
      </w:pPr>
      <w:r>
        <w:rPr>
          <w:b/>
          <w:bCs/>
          <w:color w:val="1F3A5F"/>
          <w:sz w:val="32"/>
          <w:szCs w:val="32"/>
        </w:rPr>
        <w:t xml:space="preserve">15. Limitations and Future Work</w:t>
      </w:r>
    </w:p>
    <w:p>
      <w:pPr>
        <w:pStyle w:val="Heading2"/>
        <w:spacing w:after="160" w:before="280"/>
      </w:pPr>
      <w:r>
        <w:rPr>
          <w:b/>
          <w:bCs/>
          <w:color w:val="2E5984"/>
          <w:sz w:val="26"/>
          <w:szCs w:val="26"/>
        </w:rPr>
        <w:t xml:space="preserve">15.1  Known Limitations</w:t>
      </w:r>
    </w:p>
    <w:p>
      <w:pPr>
        <w:pStyle w:val="ListParagraph"/>
        <w:numPr>
          <w:ilvl w:val="0"/>
          <w:numId w:val="2"/>
        </w:numPr>
        <w:spacing w:after="80"/>
      </w:pPr>
      <w:r>
        <w:rPr>
          <w:sz w:val="22"/>
          <w:szCs w:val="22"/>
        </w:rPr>
        <w:t xml:space="preserve">Projection data quality. The luck model is robust, but the trade tool depends on third-party projection data (CBS Sports, FantasyPros consensus). When these projections become corrupted by early-season noise (Juan Soto's mid-season PA estimate of 412 in May), the model's output reflects that corruption. The pedigree override layer addresses this for known elite cases but is not yet automated.</w:t>
      </w:r>
    </w:p>
    <w:p>
      <w:pPr>
        <w:pStyle w:val="ListParagraph"/>
        <w:numPr>
          <w:ilvl w:val="0"/>
          <w:numId w:val="2"/>
        </w:numPr>
        <w:spacing w:after="80"/>
      </w:pPr>
      <w:r>
        <w:rPr>
          <w:sz w:val="22"/>
          <w:szCs w:val="22"/>
        </w:rPr>
        <w:t xml:space="preserve">Roster context blindness. The trade tool evaluates trades in isolation rather than in the context of the user's full roster. A trade that is favorable on paper may be unfavorable for a manager already strong at the incoming player's position. Roster awareness is planned for a future version.</w:t>
      </w:r>
    </w:p>
    <w:p>
      <w:pPr>
        <w:pStyle w:val="ListParagraph"/>
        <w:numPr>
          <w:ilvl w:val="0"/>
          <w:numId w:val="2"/>
        </w:numPr>
        <w:spacing w:after="80"/>
      </w:pPr>
      <w:r>
        <w:rPr>
          <w:sz w:val="22"/>
          <w:szCs w:val="22"/>
        </w:rPr>
        <w:t xml:space="preserve">Pitcher W dimension undervalued. The pitcher model currently uses a default team win percentage of 0.500 for all pitchers because team standings data is not yet integrated into the pipeline. This compresses elite pitchers on strong teams (Dodgers, Yankees) relative to their true category-wins ceiling. Integration is planned for Session 62.</w:t>
      </w:r>
    </w:p>
    <w:p>
      <w:pPr>
        <w:pStyle w:val="ListParagraph"/>
        <w:numPr>
          <w:ilvl w:val="0"/>
          <w:numId w:val="2"/>
        </w:numPr>
        <w:spacing w:after="80"/>
      </w:pPr>
      <w:r>
        <w:rPr>
          <w:sz w:val="22"/>
          <w:szCs w:val="22"/>
        </w:rPr>
        <w:t xml:space="preserve">Beta sample size. The trade tool has not yet been deployed to a broad user base. Beta feedback has been limited to a small group. Edge cases will continue to surface as the user base expands.</w:t>
      </w:r>
    </w:p>
    <w:p>
      <w:pPr>
        <w:pStyle w:val="ListParagraph"/>
        <w:numPr>
          <w:ilvl w:val="0"/>
          <w:numId w:val="2"/>
        </w:numPr>
        <w:spacing w:after="80"/>
      </w:pPr>
      <w:r>
        <w:rPr>
          <w:sz w:val="22"/>
          <w:szCs w:val="22"/>
        </w:rPr>
        <w:t xml:space="preserve">AVG predictability ceiling. Batting average remains the hardest category to project from April data (industry-wide R² ~0.06). The model conservatively under-weights AVG in early-season projections, but this caps the precision achievable on AVG-dominant players.</w:t>
      </w:r>
    </w:p>
    <w:p>
      <w:pPr>
        <w:pStyle w:val="Heading2"/>
        <w:spacing w:after="160" w:before="280"/>
      </w:pPr>
      <w:r>
        <w:rPr>
          <w:b/>
          <w:bCs/>
          <w:color w:val="2E5984"/>
          <w:sz w:val="26"/>
          <w:szCs w:val="26"/>
        </w:rPr>
        <w:t xml:space="preserve">15.2  Research Agenda</w:t>
      </w:r>
    </w:p>
    <w:p>
      <w:pPr>
        <w:pStyle w:val="ListParagraph"/>
        <w:numPr>
          <w:ilvl w:val="0"/>
          <w:numId w:val="2"/>
        </w:numPr>
        <w:spacing w:after="80"/>
      </w:pPr>
      <w:r>
        <w:rPr>
          <w:sz w:val="22"/>
          <w:szCs w:val="22"/>
        </w:rPr>
        <w:t xml:space="preserve">Mid-season architecture (Session 62). Rolling 4-week window signals replacing static April-only luck scores. Will integrate with the pedigree override system to produce a unified projection model that weights career, full-season, and rolling-window data dynamically.</w:t>
      </w:r>
    </w:p>
    <w:p>
      <w:pPr>
        <w:pStyle w:val="ListParagraph"/>
        <w:numPr>
          <w:ilvl w:val="0"/>
          <w:numId w:val="2"/>
        </w:numPr>
        <w:spacing w:after="80"/>
      </w:pPr>
      <w:r>
        <w:rPr>
          <w:sz w:val="22"/>
          <w:szCs w:val="22"/>
        </w:rPr>
        <w:t xml:space="preserve">Pitcher W dimension. Pull team win percentage from MLB standings into the pipeline. Wire into pitcher breadth scoring. Empirically calibrate the W contribution premium for pitchers on top-tier offensive teams.</w:t>
      </w:r>
    </w:p>
    <w:p>
      <w:pPr>
        <w:pStyle w:val="ListParagraph"/>
        <w:numPr>
          <w:ilvl w:val="0"/>
          <w:numId w:val="2"/>
        </w:numPr>
        <w:spacing w:after="80"/>
      </w:pPr>
      <w:r>
        <w:rPr>
          <w:sz w:val="22"/>
          <w:szCs w:val="22"/>
        </w:rPr>
        <w:t xml:space="preserve">Automated pedigree override (Option A). Replace the manual override JSON file with a continuous-function career-blend system. Eligibility determined algorithmically rather than manually.</w:t>
      </w:r>
    </w:p>
    <w:p>
      <w:pPr>
        <w:pStyle w:val="ListParagraph"/>
        <w:numPr>
          <w:ilvl w:val="0"/>
          <w:numId w:val="2"/>
        </w:numPr>
        <w:spacing w:after="80"/>
      </w:pPr>
      <w:r>
        <w:rPr>
          <w:sz w:val="22"/>
          <w:szCs w:val="22"/>
        </w:rPr>
        <w:t xml:space="preserve">Roster context integration. Allow users to input their full roster, then evaluate trades against their team's current strengths and weaknesses rather than in player-by-player isolation.</w:t>
      </w:r>
    </w:p>
    <w:p>
      <w:pPr>
        <w:pStyle w:val="ListParagraph"/>
        <w:numPr>
          <w:ilvl w:val="0"/>
          <w:numId w:val="2"/>
        </w:numPr>
        <w:spacing w:after="80"/>
      </w:pPr>
      <w:r>
        <w:rPr>
          <w:sz w:val="22"/>
          <w:szCs w:val="22"/>
        </w:rPr>
        <w:t xml:space="preserve">Public release of the trade tool. Move beyond beta to a production deployment with documentation, onboarding, and broader user access.</w:t>
      </w:r>
    </w:p>
    <w:p>
      <w:pPr>
        <w:pStyle w:val="ListParagraph"/>
        <w:numPr>
          <w:ilvl w:val="0"/>
          <w:numId w:val="2"/>
        </w:numPr>
        <w:spacing w:after="80"/>
      </w:pPr>
      <w:r>
        <w:rPr>
          <w:sz w:val="22"/>
          <w:szCs w:val="22"/>
        </w:rPr>
        <w:t xml:space="preserve">Football product (Project 4). Apply the luck detection framework to NFL fantasy data — target share luck, air yards vs actual yards gaps, snap count trends, red zone target share luck. Planning phase only, not yet started.</w:t>
      </w:r>
    </w:p>
    <w:p>
      <w:pPr>
        <w:pBdr>
          <w:bottom w:val="single" w:color="1F3A5F" w:sz="6" w:space="1"/>
        </w:pBdr>
        <w:spacing w:after="240"/>
      </w:pPr>
    </w:p>
    <w:p>
      <w:pPr>
        <w:pStyle w:val="Heading1"/>
        <w:spacing w:after="200" w:before="360"/>
      </w:pPr>
      <w:r>
        <w:rPr>
          <w:b/>
          <w:bCs/>
          <w:color w:val="1F3A5F"/>
          <w:sz w:val="32"/>
          <w:szCs w:val="32"/>
        </w:rPr>
        <w:t xml:space="preserve">About The Signal Fantasy</w:t>
      </w:r>
    </w:p>
    <w:p>
      <w:pPr>
        <w:spacing w:after="160"/>
        <w:jc w:val="left"/>
      </w:pPr>
      <w:r>
        <w:rPr>
          <w:b w:val="false"/>
          <w:bCs w:val="false"/>
          <w:i w:val="false"/>
          <w:iCs w:val="false"/>
          <w:color w:val="000000"/>
          <w:sz w:val="22"/>
          <w:szCs w:val="22"/>
        </w:rPr>
        <w:t xml:space="preserve">The Signal Fantasy is an independent fantasy baseball analytics publication built on seven layers of Statcast data, individual career baselines, rigorous out-of-sample backtesting, and a Category Breadth Architecture for trade valuation. Published weekly during the MLB season.</w:t>
      </w:r>
    </w:p>
    <w:p>
      <w:pPr>
        <w:pStyle w:val="ListParagraph"/>
        <w:numPr>
          <w:ilvl w:val="0"/>
          <w:numId w:val="2"/>
        </w:numPr>
        <w:spacing w:after="80"/>
      </w:pPr>
      <w:r>
        <w:rPr>
          <w:sz w:val="22"/>
          <w:szCs w:val="22"/>
        </w:rPr>
        <w:t xml:space="preserve">Substack: signalfantasy.substack.com</w:t>
      </w:r>
    </w:p>
    <w:p>
      <w:pPr>
        <w:pStyle w:val="ListParagraph"/>
        <w:numPr>
          <w:ilvl w:val="0"/>
          <w:numId w:val="2"/>
        </w:numPr>
        <w:spacing w:after="80"/>
      </w:pPr>
      <w:r>
        <w:rPr>
          <w:sz w:val="22"/>
          <w:szCs w:val="22"/>
        </w:rPr>
        <w:t xml:space="preserve">Repository: github.com/DustinSLovell/Signal-Fantasy-Pipeline</w:t>
      </w:r>
    </w:p>
    <w:p>
      <w:pPr>
        <w:pStyle w:val="ListParagraph"/>
        <w:numPr>
          <w:ilvl w:val="0"/>
          <w:numId w:val="2"/>
        </w:numPr>
        <w:spacing w:after="80"/>
      </w:pPr>
      <w:r>
        <w:rPr>
          <w:sz w:val="22"/>
          <w:szCs w:val="22"/>
        </w:rPr>
        <w:t xml:space="preserve">License: Business Source License 1.1 (commercial use prohibited until 2029, then converts to MIT)</w:t>
      </w:r>
    </w:p>
    <w:p>
      <w:pPr>
        <w:spacing w:after="120" w:before="400"/>
      </w:pPr>
      <w:r>
        <w:rPr>
          <w:i/>
          <w:iCs/>
          <w:color w:val="777777"/>
          <w:sz w:val="16"/>
          <w:szCs w:val="16"/>
        </w:rPr>
        <w:t xml:space="preserve">© 2026 The Signal Fantasy. All rights reserved. Version 1 first published April 22, 2026. Version 2 published May 17, 2026. Methodology copyright established by date of first Substack publication.</w:t>
      </w:r>
    </w:p>
    <w:p>
      <w:pPr>
        <w:spacing w:after="200"/>
      </w:pPr>
      <w:r>
        <w:rPr>
          <w:i/>
          <w:iCs/>
          <w:color w:val="777777"/>
          <w:sz w:val="16"/>
          <w:szCs w:val="16"/>
        </w:rPr>
        <w:t xml:space="preserve">Unauthorized reproduction of this methodology, signal framework, accuracy claims, or Category Breadth Architecture without attribution is prohibited.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2026-05-16T22:55:22.249Z</dcterms:created>
  <dcterms:modified xsi:type="dcterms:W3CDTF">2026-05-16T22:55:22.265Z</dcterms:modified>
</cp:coreProperties>
</file>

<file path=docProps/custom.xml><?xml version="1.0" encoding="utf-8"?>
<Properties xmlns="http://schemas.openxmlformats.org/officeDocument/2006/custom-properties" xmlns:vt="http://schemas.openxmlformats.org/officeDocument/2006/docPropsVTypes"/>
</file>