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6DA" w:rsidRPr="00EB6F24" w:rsidRDefault="003666DA" w:rsidP="003666DA">
      <w:pPr>
        <w:pStyle w:val="Textoindependient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  <w:jc w:val="both"/>
        <w:rPr>
          <w:rFonts w:ascii="Corbel" w:hAnsi="Corbel" w:cs="Corbel"/>
          <w:sz w:val="22"/>
          <w:szCs w:val="22"/>
        </w:rPr>
      </w:pPr>
      <w:r w:rsidRPr="00EB6F24">
        <w:rPr>
          <w:rStyle w:val="Textoennegrita"/>
          <w:rFonts w:ascii="Corbel" w:hAnsi="Corbel" w:cs="Corbel"/>
          <w:sz w:val="22"/>
          <w:szCs w:val="22"/>
        </w:rPr>
        <w:t xml:space="preserve">2.6 </w:t>
      </w:r>
      <w:r w:rsidRPr="00EB6F24">
        <w:rPr>
          <w:rFonts w:ascii="Corbel" w:hAnsi="Corbel" w:cs="Corbel"/>
          <w:b/>
          <w:sz w:val="22"/>
          <w:szCs w:val="22"/>
        </w:rPr>
        <w:t>Origen y fundamento de la Constitución Política de los Estados Unidos Mexicanos.</w:t>
      </w:r>
    </w:p>
    <w:p w:rsidR="003666DA" w:rsidRPr="00EB6F24" w:rsidRDefault="003666DA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lang w:eastAsia="es-MX"/>
        </w:rPr>
      </w:pPr>
      <w:r w:rsidRPr="00EB6F24">
        <w:rPr>
          <w:rFonts w:ascii="Corbel" w:eastAsia="Times New Roman" w:hAnsi="Corbel" w:cs="ArialMT"/>
          <w:lang w:eastAsia="es-MX"/>
        </w:rPr>
        <w:t xml:space="preserve">Carranza convocó a un Congreso para elaborar una nueva Constitución; éste quedó instalado el 1 de diciembre de 1916, exclusivamente con diputados carrancistas. </w:t>
      </w:r>
    </w:p>
    <w:p w:rsidR="000548D5" w:rsidRDefault="000548D5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lang w:eastAsia="es-MX"/>
        </w:rPr>
      </w:pPr>
      <w:r>
        <w:rPr>
          <w:rFonts w:ascii="Corbel" w:eastAsia="Times New Roman" w:hAnsi="Corbel" w:cs="ArialMT"/>
          <w:noProof/>
          <w:lang w:eastAsia="es-MX"/>
        </w:rPr>
        <w:drawing>
          <wp:inline distT="0" distB="0" distL="0" distR="0">
            <wp:extent cx="6829425" cy="3495675"/>
            <wp:effectExtent l="38100" t="0" r="47625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666DA" w:rsidRDefault="003666DA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lang w:eastAsia="es-MX"/>
        </w:rPr>
      </w:pPr>
      <w:r w:rsidRPr="00EB6F24">
        <w:rPr>
          <w:rFonts w:ascii="Corbel" w:eastAsia="Times New Roman" w:hAnsi="Corbel" w:cs="ArialMT"/>
          <w:lang w:eastAsia="es-MX"/>
        </w:rPr>
        <w:t>Sin embargo, fue en los temas relacionados con las garantías individuales y sociales donde surgió una clara distinción con el texto constitucional de 1857.</w:t>
      </w:r>
    </w:p>
    <w:p w:rsidR="000548D5" w:rsidRDefault="000548D5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color w:val="FF0000"/>
          <w:lang w:eastAsia="es-MX"/>
        </w:rPr>
        <w:sectPr w:rsidR="000548D5" w:rsidSect="007249B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56094E" w:rsidRPr="0056094E" w:rsidRDefault="0056094E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color w:val="FF0000"/>
          <w:lang w:eastAsia="es-MX"/>
        </w:rPr>
      </w:pPr>
      <w:r w:rsidRPr="0056094E">
        <w:rPr>
          <w:rFonts w:ascii="Corbel" w:eastAsia="Times New Roman" w:hAnsi="Corbel" w:cs="ArialMT"/>
          <w:color w:val="FF0000"/>
          <w:lang w:eastAsia="es-MX"/>
        </w:rPr>
        <w:t>http://michoacantrespuntocero.com/wp-content/uploads/2018/02/constitucion-1300x1191.jpg</w:t>
      </w:r>
    </w:p>
    <w:p w:rsidR="003666DA" w:rsidRDefault="003666DA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lang w:eastAsia="es-MX"/>
        </w:rPr>
      </w:pPr>
      <w:r w:rsidRPr="00EB6F24">
        <w:rPr>
          <w:rFonts w:ascii="Corbel" w:eastAsia="Times New Roman" w:hAnsi="Corbel" w:cs="ArialMT"/>
          <w:lang w:eastAsia="es-MX"/>
        </w:rPr>
        <w:t xml:space="preserve">En la discusión del artículo 3, relativo a la educación, Carranza originalmente había propuesto que se </w:t>
      </w:r>
      <w:r w:rsidRPr="00EB6F24">
        <w:rPr>
          <w:rFonts w:ascii="Corbel" w:eastAsia="Times New Roman" w:hAnsi="Corbel" w:cs="ArialMT"/>
          <w:lang w:eastAsia="es-MX"/>
        </w:rPr>
        <w:t>estableciera la plena libertad de enseñanza, señalando que sería laica la educación impartida en la escuela oficial y, gratuita la enseñanza primaria. La propuesta carrancista no prosperó y fue cambiada por el ala radical, quedando aprobada de la siguiente manera:</w:t>
      </w:r>
    </w:p>
    <w:p w:rsidR="000548D5" w:rsidRDefault="000548D5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color w:val="FF0000"/>
          <w:lang w:eastAsia="es-MX"/>
        </w:rPr>
        <w:sectPr w:rsidR="000548D5" w:rsidSect="000548D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56094E" w:rsidRPr="0056094E" w:rsidRDefault="0056094E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color w:val="FF0000"/>
          <w:lang w:eastAsia="es-MX"/>
        </w:rPr>
      </w:pPr>
      <w:r w:rsidRPr="0056094E">
        <w:rPr>
          <w:rFonts w:ascii="Corbel" w:eastAsia="Times New Roman" w:hAnsi="Corbel" w:cs="ArialMT"/>
          <w:color w:val="FF0000"/>
          <w:lang w:eastAsia="es-MX"/>
        </w:rPr>
        <w:t>https://i.ytimg.com/vi/xuutwbSlT5g/hqdefault.jpg</w:t>
      </w:r>
    </w:p>
    <w:p w:rsidR="003666DA" w:rsidRPr="00EB6F24" w:rsidRDefault="003666DA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lang w:eastAsia="es-MX"/>
        </w:rPr>
      </w:pPr>
      <w:r w:rsidRPr="00EB6F24">
        <w:rPr>
          <w:rFonts w:ascii="Corbel" w:eastAsia="Times New Roman" w:hAnsi="Corbel" w:cs="ArialMT"/>
          <w:lang w:eastAsia="es-MX"/>
        </w:rPr>
        <w:t xml:space="preserve">Artículo 3°. La enseñanza es libre, pero será laica la que se dé en los establecimientos oficiales de educación, lo mismo que la enseñanza primaria, elemental y superior </w:t>
      </w:r>
      <w:r w:rsidRPr="00EB6F24">
        <w:rPr>
          <w:rFonts w:ascii="Corbel" w:eastAsia="Times New Roman" w:hAnsi="Corbel" w:cs="ArialMT"/>
          <w:lang w:eastAsia="es-MX"/>
        </w:rPr>
        <w:t>en los establecimientos particulares. Ninguna corporación religiosa, ni ministro de algún culto, podrán establecer o dirigir escuelas de instrucción primaria (Serrano, 2013).</w:t>
      </w:r>
    </w:p>
    <w:p w:rsidR="000548D5" w:rsidRDefault="000548D5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lang w:eastAsia="es-MX"/>
        </w:rPr>
        <w:sectPr w:rsidR="000548D5" w:rsidSect="000548D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0548D5" w:rsidRDefault="000548D5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lang w:eastAsia="es-MX"/>
        </w:rPr>
      </w:pPr>
    </w:p>
    <w:p w:rsidR="000548D5" w:rsidRDefault="000548D5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lang w:eastAsia="es-MX"/>
        </w:rPr>
        <w:sectPr w:rsidR="000548D5" w:rsidSect="000548D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666DA" w:rsidRPr="00EB6F24" w:rsidRDefault="003666DA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lang w:eastAsia="es-MX"/>
        </w:rPr>
      </w:pPr>
      <w:r w:rsidRPr="00EB6F24">
        <w:rPr>
          <w:rFonts w:ascii="Corbel" w:eastAsia="Times New Roman" w:hAnsi="Corbel" w:cs="ArialMT"/>
          <w:lang w:eastAsia="es-MX"/>
        </w:rPr>
        <w:t>En cuanto al artículo 5</w:t>
      </w:r>
      <w:r w:rsidR="0056094E" w:rsidRPr="00EB6F24">
        <w:rPr>
          <w:rFonts w:ascii="Corbel" w:eastAsia="Times New Roman" w:hAnsi="Corbel" w:cs="ArialMT"/>
          <w:lang w:eastAsia="es-MX"/>
        </w:rPr>
        <w:t>°</w:t>
      </w:r>
      <w:r w:rsidRPr="00EB6F24">
        <w:rPr>
          <w:rFonts w:ascii="Corbel" w:eastAsia="Times New Roman" w:hAnsi="Corbel" w:cs="ArialMT"/>
          <w:lang w:eastAsia="es-MX"/>
        </w:rPr>
        <w:t>, relacionado con el tema del trabajo, se creó un apartado nuevo para tratarlo (el artículo 123</w:t>
      </w:r>
      <w:r w:rsidR="0056094E" w:rsidRPr="00EB6F24">
        <w:rPr>
          <w:rFonts w:ascii="Corbel" w:eastAsia="Times New Roman" w:hAnsi="Corbel" w:cs="ArialMT"/>
          <w:lang w:eastAsia="es-MX"/>
        </w:rPr>
        <w:t>°</w:t>
      </w:r>
      <w:r w:rsidRPr="00EB6F24">
        <w:rPr>
          <w:rFonts w:ascii="Corbel" w:eastAsia="Times New Roman" w:hAnsi="Corbel" w:cs="ArialMT"/>
          <w:lang w:eastAsia="es-MX"/>
        </w:rPr>
        <w:t>). Sin dejar de mencionarse el tema laboral en el artículo 5</w:t>
      </w:r>
      <w:r w:rsidR="0056094E" w:rsidRPr="00EB6F24">
        <w:rPr>
          <w:rFonts w:ascii="Corbel" w:eastAsia="Times New Roman" w:hAnsi="Corbel" w:cs="ArialMT"/>
          <w:lang w:eastAsia="es-MX"/>
        </w:rPr>
        <w:t>°</w:t>
      </w:r>
      <w:r w:rsidRPr="00EB6F24">
        <w:rPr>
          <w:rFonts w:ascii="Corbel" w:eastAsia="Times New Roman" w:hAnsi="Corbel" w:cs="ArialMT"/>
          <w:lang w:eastAsia="es-MX"/>
        </w:rPr>
        <w:t>, en el artículo 123</w:t>
      </w:r>
      <w:r w:rsidR="0056094E" w:rsidRPr="00EB6F24">
        <w:rPr>
          <w:rFonts w:ascii="Corbel" w:eastAsia="Times New Roman" w:hAnsi="Corbel" w:cs="ArialMT"/>
          <w:lang w:eastAsia="es-MX"/>
        </w:rPr>
        <w:t>°</w:t>
      </w:r>
      <w:r w:rsidRPr="00EB6F24">
        <w:rPr>
          <w:rFonts w:ascii="Corbel" w:eastAsia="Times New Roman" w:hAnsi="Corbel" w:cs="ArialMT"/>
          <w:lang w:eastAsia="es-MX"/>
        </w:rPr>
        <w:t xml:space="preserve"> quedaron plasmadas varias reivindicaciones sociales de los trabajadores como: la duración de las jornadas de trabajo (8 horas), regular el trabajo de las mujeres d</w:t>
      </w:r>
      <w:bookmarkStart w:id="0" w:name="_GoBack"/>
      <w:bookmarkEnd w:id="0"/>
      <w:r w:rsidRPr="00EB6F24">
        <w:rPr>
          <w:rFonts w:ascii="Corbel" w:eastAsia="Times New Roman" w:hAnsi="Corbel" w:cs="ArialMT"/>
          <w:lang w:eastAsia="es-MX"/>
        </w:rPr>
        <w:t xml:space="preserve">urante el embarazo, se incluyó el salario mínimo, el descanso semanal obligatorio y se estableció la responsabilidad de los </w:t>
      </w:r>
      <w:r w:rsidRPr="00EB6F24">
        <w:rPr>
          <w:rFonts w:ascii="Corbel" w:eastAsia="Times New Roman" w:hAnsi="Corbel" w:cs="ArialMT"/>
          <w:lang w:eastAsia="es-MX"/>
        </w:rPr>
        <w:t xml:space="preserve">patrones por los accidentes de trabajo. Se establecía el derecho de huelga y los paros laborales. En resumen, se establecieron criterios que defendían el derecho individual y colectivo del trabajo, como un gran logro de los impulsores de los derechos de los trabajadores. </w:t>
      </w:r>
    </w:p>
    <w:p w:rsidR="000548D5" w:rsidRPr="000548D5" w:rsidRDefault="000548D5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color w:val="FF0000"/>
          <w:lang w:eastAsia="es-MX"/>
        </w:rPr>
        <w:sectPr w:rsidR="000548D5" w:rsidRPr="000548D5" w:rsidSect="000548D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0548D5">
        <w:rPr>
          <w:rFonts w:ascii="Corbel" w:eastAsia="Times New Roman" w:hAnsi="Corbel" w:cs="ArialMT"/>
          <w:color w:val="FF0000"/>
          <w:lang w:eastAsia="es-MX"/>
        </w:rPr>
        <w:t>http://www.drarmandohdz.com/wp-content/uploads/2016/12/Art.-5.jpg</w:t>
      </w:r>
    </w:p>
    <w:p w:rsidR="000548D5" w:rsidRDefault="000548D5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lang w:eastAsia="es-MX"/>
        </w:rPr>
        <w:sectPr w:rsidR="000548D5" w:rsidSect="000548D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3666DA" w:rsidRPr="00EB6F24" w:rsidRDefault="003666DA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lang w:eastAsia="es-MX"/>
        </w:rPr>
      </w:pPr>
      <w:r w:rsidRPr="00EB6F24">
        <w:rPr>
          <w:rFonts w:ascii="Corbel" w:eastAsia="Times New Roman" w:hAnsi="Corbel" w:cs="ArialMT"/>
          <w:lang w:eastAsia="es-MX"/>
        </w:rPr>
        <w:t>El artículo 27</w:t>
      </w:r>
      <w:r w:rsidR="0056094E" w:rsidRPr="00EB6F24">
        <w:rPr>
          <w:rFonts w:ascii="Corbel" w:eastAsia="Times New Roman" w:hAnsi="Corbel" w:cs="ArialMT"/>
          <w:lang w:eastAsia="es-MX"/>
        </w:rPr>
        <w:t>°</w:t>
      </w:r>
      <w:r w:rsidRPr="00EB6F24">
        <w:rPr>
          <w:rFonts w:ascii="Corbel" w:eastAsia="Times New Roman" w:hAnsi="Corbel" w:cs="ArialMT"/>
          <w:lang w:eastAsia="es-MX"/>
        </w:rPr>
        <w:t xml:space="preserve"> fue uno de los cambios importantes, señalaba que la Nación era la única propietaria de todas las tierras y aguas comprendidas dentro de los límites del </w:t>
      </w:r>
      <w:r w:rsidRPr="00EB6F24">
        <w:rPr>
          <w:rFonts w:ascii="Corbel" w:eastAsia="Times New Roman" w:hAnsi="Corbel" w:cs="ArialMT"/>
          <w:lang w:eastAsia="es-MX"/>
        </w:rPr>
        <w:t xml:space="preserve">territorio nacional, y era la única con el derecho de transmitir el dominio de los particulares constituyendo la propiedad privada. Las expropiaciones solamente </w:t>
      </w:r>
      <w:r w:rsidRPr="00EB6F24">
        <w:rPr>
          <w:rFonts w:ascii="Corbel" w:eastAsia="Times New Roman" w:hAnsi="Corbel" w:cs="ArialMT"/>
          <w:lang w:eastAsia="es-MX"/>
        </w:rPr>
        <w:lastRenderedPageBreak/>
        <w:t>podrían hacerse por causa de utilidad pública y mediante indemnización.</w:t>
      </w:r>
    </w:p>
    <w:p w:rsidR="003666DA" w:rsidRPr="00EB6F24" w:rsidRDefault="003666DA" w:rsidP="003666DA">
      <w:pPr>
        <w:autoSpaceDE w:val="0"/>
        <w:autoSpaceDN w:val="0"/>
        <w:adjustRightInd w:val="0"/>
        <w:spacing w:line="240" w:lineRule="auto"/>
        <w:jc w:val="both"/>
        <w:rPr>
          <w:rFonts w:ascii="Corbel" w:eastAsia="Times New Roman" w:hAnsi="Corbel" w:cs="ArialMT"/>
          <w:lang w:eastAsia="es-MX"/>
        </w:rPr>
      </w:pPr>
      <w:r w:rsidRPr="00EB6F24">
        <w:rPr>
          <w:rFonts w:ascii="Corbel" w:eastAsia="Times New Roman" w:hAnsi="Corbel" w:cs="ArialMT"/>
          <w:lang w:eastAsia="es-MX"/>
        </w:rPr>
        <w:t>Este nuevo documento reafirmaba la separación entre la Iglesia y el Estado. Los cambios constitucionales generaron molestias entre varios sectores de la población, lo que derivó en una lucha iniciada inmediatamente después de promulgada la Constitución y que llegó a su crisis más grave con la Guerra Cristera.</w:t>
      </w:r>
    </w:p>
    <w:p w:rsidR="000E6F5E" w:rsidRPr="0056094E" w:rsidRDefault="0056094E" w:rsidP="003666DA">
      <w:pPr>
        <w:rPr>
          <w:color w:val="FF0000"/>
        </w:rPr>
      </w:pPr>
      <w:r w:rsidRPr="0056094E">
        <w:rPr>
          <w:color w:val="FF0000"/>
        </w:rPr>
        <w:t>http://elpueblo.com/img/thumbnails_l/pe__a_constitucion.jpg</w:t>
      </w:r>
    </w:p>
    <w:sectPr w:rsidR="000E6F5E" w:rsidRPr="0056094E" w:rsidSect="000548D5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3CA1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E32B53"/>
    <w:multiLevelType w:val="hybridMultilevel"/>
    <w:tmpl w:val="9B4095C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1755"/>
    <w:multiLevelType w:val="hybridMultilevel"/>
    <w:tmpl w:val="97CCE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5E"/>
    <w:rsid w:val="000548D5"/>
    <w:rsid w:val="000B0E68"/>
    <w:rsid w:val="000E6F5E"/>
    <w:rsid w:val="00106E48"/>
    <w:rsid w:val="00130471"/>
    <w:rsid w:val="001340C4"/>
    <w:rsid w:val="002773F0"/>
    <w:rsid w:val="002C5B22"/>
    <w:rsid w:val="002F4B38"/>
    <w:rsid w:val="00301F90"/>
    <w:rsid w:val="003666DA"/>
    <w:rsid w:val="0039274F"/>
    <w:rsid w:val="003A0A20"/>
    <w:rsid w:val="003E13DB"/>
    <w:rsid w:val="003F1D0F"/>
    <w:rsid w:val="003F47AE"/>
    <w:rsid w:val="00406F90"/>
    <w:rsid w:val="004141F7"/>
    <w:rsid w:val="004B661D"/>
    <w:rsid w:val="004F5751"/>
    <w:rsid w:val="00532B24"/>
    <w:rsid w:val="0056094E"/>
    <w:rsid w:val="00582F5A"/>
    <w:rsid w:val="00594A89"/>
    <w:rsid w:val="0062163D"/>
    <w:rsid w:val="00621CFD"/>
    <w:rsid w:val="006779D8"/>
    <w:rsid w:val="00700057"/>
    <w:rsid w:val="007121AF"/>
    <w:rsid w:val="007249BD"/>
    <w:rsid w:val="007501FF"/>
    <w:rsid w:val="00756DBA"/>
    <w:rsid w:val="00757D30"/>
    <w:rsid w:val="00773C00"/>
    <w:rsid w:val="00856C40"/>
    <w:rsid w:val="008F20B3"/>
    <w:rsid w:val="008F5B6F"/>
    <w:rsid w:val="009C789E"/>
    <w:rsid w:val="009E5080"/>
    <w:rsid w:val="00A07DD0"/>
    <w:rsid w:val="00A220AF"/>
    <w:rsid w:val="00AA1EC3"/>
    <w:rsid w:val="00B05CC8"/>
    <w:rsid w:val="00B2481C"/>
    <w:rsid w:val="00B35B04"/>
    <w:rsid w:val="00B46FD5"/>
    <w:rsid w:val="00B924F1"/>
    <w:rsid w:val="00BD6EF9"/>
    <w:rsid w:val="00C10E78"/>
    <w:rsid w:val="00C716E1"/>
    <w:rsid w:val="00C87C08"/>
    <w:rsid w:val="00CB4F1C"/>
    <w:rsid w:val="00CD142E"/>
    <w:rsid w:val="00DF4BC1"/>
    <w:rsid w:val="00E32441"/>
    <w:rsid w:val="00EA292E"/>
    <w:rsid w:val="00EB3149"/>
    <w:rsid w:val="00EB6F24"/>
    <w:rsid w:val="00F0555D"/>
    <w:rsid w:val="00F4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96E7D-9875-49DA-9E5A-2721DBA8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link w:val="Ttulo5Car"/>
    <w:qFormat/>
    <w:rsid w:val="000E6F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0E6F5E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unhideWhenUsed/>
    <w:rsid w:val="000E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E6F5E"/>
    <w:rPr>
      <w:b/>
      <w:bCs/>
    </w:rPr>
  </w:style>
  <w:style w:type="character" w:customStyle="1" w:styleId="WW8Num1z0">
    <w:name w:val="WW8Num1z0"/>
    <w:rsid w:val="00700057"/>
  </w:style>
  <w:style w:type="character" w:customStyle="1" w:styleId="WW8Num1z1">
    <w:name w:val="WW8Num1z1"/>
    <w:rsid w:val="00700057"/>
  </w:style>
  <w:style w:type="character" w:customStyle="1" w:styleId="WW8Num1z2">
    <w:name w:val="WW8Num1z2"/>
    <w:rsid w:val="00700057"/>
  </w:style>
  <w:style w:type="character" w:customStyle="1" w:styleId="WW8Num1z3">
    <w:name w:val="WW8Num1z3"/>
    <w:rsid w:val="00700057"/>
  </w:style>
  <w:style w:type="character" w:customStyle="1" w:styleId="WW8Num1z4">
    <w:name w:val="WW8Num1z4"/>
    <w:rsid w:val="00700057"/>
  </w:style>
  <w:style w:type="character" w:customStyle="1" w:styleId="WW8Num1z5">
    <w:name w:val="WW8Num1z5"/>
    <w:rsid w:val="00700057"/>
  </w:style>
  <w:style w:type="character" w:customStyle="1" w:styleId="WW8Num1z6">
    <w:name w:val="WW8Num1z6"/>
    <w:rsid w:val="00700057"/>
  </w:style>
  <w:style w:type="character" w:customStyle="1" w:styleId="WW8Num1z7">
    <w:name w:val="WW8Num1z7"/>
    <w:rsid w:val="00700057"/>
  </w:style>
  <w:style w:type="character" w:customStyle="1" w:styleId="WW8Num1z8">
    <w:name w:val="WW8Num1z8"/>
    <w:rsid w:val="00700057"/>
  </w:style>
  <w:style w:type="paragraph" w:customStyle="1" w:styleId="Ttulo">
    <w:name w:val="Título"/>
    <w:basedOn w:val="Normal"/>
    <w:next w:val="Textoindependiente"/>
    <w:rsid w:val="00700057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kern w:val="1"/>
      <w:sz w:val="28"/>
      <w:szCs w:val="28"/>
      <w:lang w:eastAsia="zh-CN" w:bidi="hi-IN"/>
    </w:rPr>
  </w:style>
  <w:style w:type="paragraph" w:styleId="Textoindependiente">
    <w:name w:val="Body Text"/>
    <w:basedOn w:val="Normal"/>
    <w:link w:val="TextoindependienteCar"/>
    <w:rsid w:val="00700057"/>
    <w:pPr>
      <w:suppressAutoHyphens/>
      <w:spacing w:after="140" w:line="288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700057"/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Lista">
    <w:name w:val="List"/>
    <w:basedOn w:val="Textoindependiente"/>
    <w:rsid w:val="00700057"/>
  </w:style>
  <w:style w:type="paragraph" w:styleId="Descripcin">
    <w:name w:val="caption"/>
    <w:basedOn w:val="Normal"/>
    <w:qFormat/>
    <w:rsid w:val="00700057"/>
    <w:pPr>
      <w:suppressLineNumbers/>
      <w:suppressAutoHyphens/>
      <w:spacing w:before="120" w:after="120" w:line="240" w:lineRule="auto"/>
    </w:pPr>
    <w:rPr>
      <w:rFonts w:ascii="Liberation Serif" w:eastAsia="SimSun" w:hAnsi="Liberation Serif" w:cs="Arial"/>
      <w:i/>
      <w:iCs/>
      <w:kern w:val="1"/>
      <w:sz w:val="24"/>
      <w:szCs w:val="24"/>
      <w:lang w:eastAsia="zh-CN" w:bidi="hi-IN"/>
    </w:rPr>
  </w:style>
  <w:style w:type="paragraph" w:customStyle="1" w:styleId="ndice">
    <w:name w:val="Índice"/>
    <w:basedOn w:val="Normal"/>
    <w:rsid w:val="00700057"/>
    <w:pPr>
      <w:suppressLineNumbers/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Contenidodelatabla">
    <w:name w:val="Contenido de la tabla"/>
    <w:basedOn w:val="Normal"/>
    <w:rsid w:val="00700057"/>
    <w:pPr>
      <w:suppressAutoHyphens/>
      <w:spacing w:after="0" w:line="240" w:lineRule="auto"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customStyle="1" w:styleId="Ttulodelatabla">
    <w:name w:val="Título de la tabla"/>
    <w:basedOn w:val="Contenidodelatabla"/>
    <w:rsid w:val="00700057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70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DF4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0F92"/>
    <w:rPr>
      <w:color w:val="0563C1" w:themeColor="hyperlink"/>
      <w:u w:val="single"/>
    </w:rPr>
  </w:style>
  <w:style w:type="character" w:styleId="VariableHTML">
    <w:name w:val="HTML Variable"/>
    <w:basedOn w:val="Fuentedeprrafopredeter"/>
    <w:uiPriority w:val="99"/>
    <w:semiHidden/>
    <w:unhideWhenUsed/>
    <w:rsid w:val="00130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C42C6C-F977-4CDE-B783-487B4DF2A96A}" type="doc">
      <dgm:prSet loTypeId="urn:microsoft.com/office/officeart/2005/8/layout/hProcess9" loCatId="process" qsTypeId="urn:microsoft.com/office/officeart/2005/8/quickstyle/simple3" qsCatId="simple" csTypeId="urn:microsoft.com/office/officeart/2005/8/colors/colorful1" csCatId="colorful" phldr="1"/>
      <dgm:spPr/>
    </dgm:pt>
    <dgm:pt modelId="{B9809BC6-A44E-441E-98E5-D577B6FE3C9F}">
      <dgm:prSet phldrT="[Texto]" custT="1"/>
      <dgm:spPr/>
      <dgm:t>
        <a:bodyPr/>
        <a:lstStyle/>
        <a:p>
          <a:r>
            <a:rPr lang="es-MX" sz="1000">
              <a:latin typeface="Corbel" panose="020B0503020204020204" pitchFamily="34" charset="0"/>
            </a:rPr>
            <a:t>Pronto en el Congreso se formaron dos grupos: el renovador, que se apoyaba en los postulados del grupo maderista; y el radical o jacobino, influido por el </a:t>
          </a:r>
          <a:r>
            <a:rPr lang="es-MX" sz="1000" b="1">
              <a:latin typeface="Corbel" panose="020B0503020204020204" pitchFamily="34" charset="0"/>
            </a:rPr>
            <a:t>ideario </a:t>
          </a:r>
          <a:r>
            <a:rPr lang="es-MX" sz="1000">
              <a:latin typeface="Corbel" panose="020B0503020204020204" pitchFamily="34" charset="0"/>
            </a:rPr>
            <a:t>anarcosindicalista de los Flores Magón y de la Casa del Obrero Mundial. </a:t>
          </a:r>
        </a:p>
      </dgm:t>
    </dgm:pt>
    <dgm:pt modelId="{669F3C57-D950-400C-BCE8-98772AC3CE25}" type="parTrans" cxnId="{BE097E42-5EAC-4AAD-92C6-2FF042C4B4BF}">
      <dgm:prSet/>
      <dgm:spPr/>
      <dgm:t>
        <a:bodyPr/>
        <a:lstStyle/>
        <a:p>
          <a:endParaRPr lang="es-MX" sz="2000">
            <a:latin typeface="Corbel" panose="020B0503020204020204" pitchFamily="34" charset="0"/>
          </a:endParaRPr>
        </a:p>
      </dgm:t>
    </dgm:pt>
    <dgm:pt modelId="{D82E9282-38FA-4B1E-ACEB-4EFFC93B1104}" type="sibTrans" cxnId="{BE097E42-5EAC-4AAD-92C6-2FF042C4B4BF}">
      <dgm:prSet/>
      <dgm:spPr/>
      <dgm:t>
        <a:bodyPr/>
        <a:lstStyle/>
        <a:p>
          <a:endParaRPr lang="es-MX" sz="2000">
            <a:latin typeface="Corbel" panose="020B0503020204020204" pitchFamily="34" charset="0"/>
          </a:endParaRPr>
        </a:p>
      </dgm:t>
    </dgm:pt>
    <dgm:pt modelId="{F07F223C-FB5B-4D95-941A-41BA0444FBC5}">
      <dgm:prSet phldrT="[Texto]" custT="1"/>
      <dgm:spPr/>
      <dgm:t>
        <a:bodyPr/>
        <a:lstStyle/>
        <a:p>
          <a:r>
            <a:rPr lang="es-MX" sz="1000">
              <a:latin typeface="Corbel" panose="020B0503020204020204" pitchFamily="34" charset="0"/>
            </a:rPr>
            <a:t>El presidente envió un proyecto de constitución bastante moderado. En el Congreso hubo discusiones, a veces violentas y apasionadas, entre los dos grupos. Se estaban tratando temas fundamentales como la educación, la situación agraria y las condiciones de trabajo y previsión social.</a:t>
          </a:r>
        </a:p>
      </dgm:t>
    </dgm:pt>
    <dgm:pt modelId="{2E1B8B3D-0CF6-4352-8D4A-75688E562F33}" type="parTrans" cxnId="{00AA17F5-1B42-4134-AAFC-D14A8414AD49}">
      <dgm:prSet/>
      <dgm:spPr/>
      <dgm:t>
        <a:bodyPr/>
        <a:lstStyle/>
        <a:p>
          <a:endParaRPr lang="es-MX" sz="2000">
            <a:latin typeface="Corbel" panose="020B0503020204020204" pitchFamily="34" charset="0"/>
          </a:endParaRPr>
        </a:p>
      </dgm:t>
    </dgm:pt>
    <dgm:pt modelId="{11FE5011-99A6-4FE1-90D7-90FAD71E7CAF}" type="sibTrans" cxnId="{00AA17F5-1B42-4134-AAFC-D14A8414AD49}">
      <dgm:prSet/>
      <dgm:spPr/>
      <dgm:t>
        <a:bodyPr/>
        <a:lstStyle/>
        <a:p>
          <a:endParaRPr lang="es-MX" sz="2000">
            <a:latin typeface="Corbel" panose="020B0503020204020204" pitchFamily="34" charset="0"/>
          </a:endParaRPr>
        </a:p>
      </dgm:t>
    </dgm:pt>
    <dgm:pt modelId="{C001935D-753A-4D4E-A386-E8829C65958D}">
      <dgm:prSet phldrT="[Texto]" custT="1"/>
      <dgm:spPr/>
      <dgm:t>
        <a:bodyPr/>
        <a:lstStyle/>
        <a:p>
          <a:r>
            <a:rPr lang="es-MX" sz="950">
              <a:latin typeface="Corbel" panose="020B0503020204020204" pitchFamily="34" charset="0"/>
            </a:rPr>
            <a:t>El texto constitucional confirmó el modelo de organización política establecido desde 1857: el sistema federal, conformado por estados libres y soberanos en cuanto a su régimen interior y mantuvo la separación de poderes. También dio continuidad a la idea de reconocer la soberanía popular como base en el sistema democrático.</a:t>
          </a:r>
        </a:p>
      </dgm:t>
    </dgm:pt>
    <dgm:pt modelId="{47F9CDAE-CBCA-4234-8CEB-BA5D6C6BAA07}" type="parTrans" cxnId="{BFBD8480-2E45-4ACA-B117-7599A57E1857}">
      <dgm:prSet/>
      <dgm:spPr/>
      <dgm:t>
        <a:bodyPr/>
        <a:lstStyle/>
        <a:p>
          <a:endParaRPr lang="es-MX" sz="2000">
            <a:latin typeface="Corbel" panose="020B0503020204020204" pitchFamily="34" charset="0"/>
          </a:endParaRPr>
        </a:p>
      </dgm:t>
    </dgm:pt>
    <dgm:pt modelId="{E93DE2A8-372A-432B-99CE-BB1439344990}" type="sibTrans" cxnId="{BFBD8480-2E45-4ACA-B117-7599A57E1857}">
      <dgm:prSet/>
      <dgm:spPr/>
      <dgm:t>
        <a:bodyPr/>
        <a:lstStyle/>
        <a:p>
          <a:endParaRPr lang="es-MX" sz="2000">
            <a:latin typeface="Corbel" panose="020B0503020204020204" pitchFamily="34" charset="0"/>
          </a:endParaRPr>
        </a:p>
      </dgm:t>
    </dgm:pt>
    <dgm:pt modelId="{156CDCC9-7D58-40D5-AFD9-C5DC3AB4D2F4}" type="pres">
      <dgm:prSet presAssocID="{2AC42C6C-F977-4CDE-B783-487B4DF2A96A}" presName="CompostProcess" presStyleCnt="0">
        <dgm:presLayoutVars>
          <dgm:dir/>
          <dgm:resizeHandles val="exact"/>
        </dgm:presLayoutVars>
      </dgm:prSet>
      <dgm:spPr/>
    </dgm:pt>
    <dgm:pt modelId="{897031E8-66E2-47DA-8C2F-6EC954C9CBAD}" type="pres">
      <dgm:prSet presAssocID="{2AC42C6C-F977-4CDE-B783-487B4DF2A96A}" presName="arrow" presStyleLbl="bgShp" presStyleIdx="0" presStyleCnt="1"/>
      <dgm:spPr/>
    </dgm:pt>
    <dgm:pt modelId="{1F74F543-19E5-4A78-A5C8-0763844C45FB}" type="pres">
      <dgm:prSet presAssocID="{2AC42C6C-F977-4CDE-B783-487B4DF2A96A}" presName="linearProcess" presStyleCnt="0"/>
      <dgm:spPr/>
    </dgm:pt>
    <dgm:pt modelId="{0B907F1A-1AD1-4AC8-9E3B-062BBB6D53C3}" type="pres">
      <dgm:prSet presAssocID="{B9809BC6-A44E-441E-98E5-D577B6FE3C9F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9BF7AED-50DB-4ACF-AC62-AE9CE7D19040}" type="pres">
      <dgm:prSet presAssocID="{D82E9282-38FA-4B1E-ACEB-4EFFC93B1104}" presName="sibTrans" presStyleCnt="0"/>
      <dgm:spPr/>
    </dgm:pt>
    <dgm:pt modelId="{3163F6CF-160F-4C9D-AB35-BFF2DB9B3E48}" type="pres">
      <dgm:prSet presAssocID="{F07F223C-FB5B-4D95-941A-41BA0444FBC5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29BDEF8-18A5-4120-9E26-2FF597B95995}" type="pres">
      <dgm:prSet presAssocID="{11FE5011-99A6-4FE1-90D7-90FAD71E7CAF}" presName="sibTrans" presStyleCnt="0"/>
      <dgm:spPr/>
    </dgm:pt>
    <dgm:pt modelId="{6ACE735F-E004-461B-974A-D032F6AD55CE}" type="pres">
      <dgm:prSet presAssocID="{C001935D-753A-4D4E-A386-E8829C65958D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00AA17F5-1B42-4134-AAFC-D14A8414AD49}" srcId="{2AC42C6C-F977-4CDE-B783-487B4DF2A96A}" destId="{F07F223C-FB5B-4D95-941A-41BA0444FBC5}" srcOrd="1" destOrd="0" parTransId="{2E1B8B3D-0CF6-4352-8D4A-75688E562F33}" sibTransId="{11FE5011-99A6-4FE1-90D7-90FAD71E7CAF}"/>
    <dgm:cxn modelId="{061CF370-9373-4A44-AFC6-7B7D25E1F388}" type="presOf" srcId="{B9809BC6-A44E-441E-98E5-D577B6FE3C9F}" destId="{0B907F1A-1AD1-4AC8-9E3B-062BBB6D53C3}" srcOrd="0" destOrd="0" presId="urn:microsoft.com/office/officeart/2005/8/layout/hProcess9"/>
    <dgm:cxn modelId="{BFBD8480-2E45-4ACA-B117-7599A57E1857}" srcId="{2AC42C6C-F977-4CDE-B783-487B4DF2A96A}" destId="{C001935D-753A-4D4E-A386-E8829C65958D}" srcOrd="2" destOrd="0" parTransId="{47F9CDAE-CBCA-4234-8CEB-BA5D6C6BAA07}" sibTransId="{E93DE2A8-372A-432B-99CE-BB1439344990}"/>
    <dgm:cxn modelId="{BE097E42-5EAC-4AAD-92C6-2FF042C4B4BF}" srcId="{2AC42C6C-F977-4CDE-B783-487B4DF2A96A}" destId="{B9809BC6-A44E-441E-98E5-D577B6FE3C9F}" srcOrd="0" destOrd="0" parTransId="{669F3C57-D950-400C-BCE8-98772AC3CE25}" sibTransId="{D82E9282-38FA-4B1E-ACEB-4EFFC93B1104}"/>
    <dgm:cxn modelId="{01DC1A8A-8DFC-4FD6-AF6C-06115C838B6D}" type="presOf" srcId="{F07F223C-FB5B-4D95-941A-41BA0444FBC5}" destId="{3163F6CF-160F-4C9D-AB35-BFF2DB9B3E48}" srcOrd="0" destOrd="0" presId="urn:microsoft.com/office/officeart/2005/8/layout/hProcess9"/>
    <dgm:cxn modelId="{9F7AE2E1-9C6A-42E2-AD3B-4C0D56B75D7C}" type="presOf" srcId="{2AC42C6C-F977-4CDE-B783-487B4DF2A96A}" destId="{156CDCC9-7D58-40D5-AFD9-C5DC3AB4D2F4}" srcOrd="0" destOrd="0" presId="urn:microsoft.com/office/officeart/2005/8/layout/hProcess9"/>
    <dgm:cxn modelId="{171FF9B1-7D52-4402-BE13-B7E4A7A68792}" type="presOf" srcId="{C001935D-753A-4D4E-A386-E8829C65958D}" destId="{6ACE735F-E004-461B-974A-D032F6AD55CE}" srcOrd="0" destOrd="0" presId="urn:microsoft.com/office/officeart/2005/8/layout/hProcess9"/>
    <dgm:cxn modelId="{D28CF58E-E507-44C0-8576-7462DAF1FB37}" type="presParOf" srcId="{156CDCC9-7D58-40D5-AFD9-C5DC3AB4D2F4}" destId="{897031E8-66E2-47DA-8C2F-6EC954C9CBAD}" srcOrd="0" destOrd="0" presId="urn:microsoft.com/office/officeart/2005/8/layout/hProcess9"/>
    <dgm:cxn modelId="{20644943-81D6-4AEE-89A2-F196B33BA4D8}" type="presParOf" srcId="{156CDCC9-7D58-40D5-AFD9-C5DC3AB4D2F4}" destId="{1F74F543-19E5-4A78-A5C8-0763844C45FB}" srcOrd="1" destOrd="0" presId="urn:microsoft.com/office/officeart/2005/8/layout/hProcess9"/>
    <dgm:cxn modelId="{E152B759-4D74-467D-9212-568483E7BA77}" type="presParOf" srcId="{1F74F543-19E5-4A78-A5C8-0763844C45FB}" destId="{0B907F1A-1AD1-4AC8-9E3B-062BBB6D53C3}" srcOrd="0" destOrd="0" presId="urn:microsoft.com/office/officeart/2005/8/layout/hProcess9"/>
    <dgm:cxn modelId="{42F4790C-5F1E-4F8D-B0F0-654AA64AD73C}" type="presParOf" srcId="{1F74F543-19E5-4A78-A5C8-0763844C45FB}" destId="{09BF7AED-50DB-4ACF-AC62-AE9CE7D19040}" srcOrd="1" destOrd="0" presId="urn:microsoft.com/office/officeart/2005/8/layout/hProcess9"/>
    <dgm:cxn modelId="{C969B5CA-4151-482B-8DE9-3822662C27C3}" type="presParOf" srcId="{1F74F543-19E5-4A78-A5C8-0763844C45FB}" destId="{3163F6CF-160F-4C9D-AB35-BFF2DB9B3E48}" srcOrd="2" destOrd="0" presId="urn:microsoft.com/office/officeart/2005/8/layout/hProcess9"/>
    <dgm:cxn modelId="{6D7A81C4-EA5B-4629-9D83-8286F3D80E50}" type="presParOf" srcId="{1F74F543-19E5-4A78-A5C8-0763844C45FB}" destId="{829BDEF8-18A5-4120-9E26-2FF597B95995}" srcOrd="3" destOrd="0" presId="urn:microsoft.com/office/officeart/2005/8/layout/hProcess9"/>
    <dgm:cxn modelId="{3126CF67-C310-40A3-BDCC-114AC72079EE}" type="presParOf" srcId="{1F74F543-19E5-4A78-A5C8-0763844C45FB}" destId="{6ACE735F-E004-461B-974A-D032F6AD55CE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7031E8-66E2-47DA-8C2F-6EC954C9CBAD}">
      <dsp:nvSpPr>
        <dsp:cNvPr id="0" name=""/>
        <dsp:cNvSpPr/>
      </dsp:nvSpPr>
      <dsp:spPr>
        <a:xfrm>
          <a:off x="512206" y="0"/>
          <a:ext cx="5805011" cy="3495675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B907F1A-1AD1-4AC8-9E3B-062BBB6D53C3}">
      <dsp:nvSpPr>
        <dsp:cNvPr id="0" name=""/>
        <dsp:cNvSpPr/>
      </dsp:nvSpPr>
      <dsp:spPr>
        <a:xfrm>
          <a:off x="3152" y="1048702"/>
          <a:ext cx="2072958" cy="1398270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rbel" panose="020B0503020204020204" pitchFamily="34" charset="0"/>
            </a:rPr>
            <a:t>Pronto en el Congreso se formaron dos grupos: el renovador, que se apoyaba en los postulados del grupo maderista; y el radical o jacobino, influido por el </a:t>
          </a:r>
          <a:r>
            <a:rPr lang="es-MX" sz="1000" b="1" kern="1200">
              <a:latin typeface="Corbel" panose="020B0503020204020204" pitchFamily="34" charset="0"/>
            </a:rPr>
            <a:t>ideario </a:t>
          </a:r>
          <a:r>
            <a:rPr lang="es-MX" sz="1000" kern="1200">
              <a:latin typeface="Corbel" panose="020B0503020204020204" pitchFamily="34" charset="0"/>
            </a:rPr>
            <a:t>anarcosindicalista de los Flores Magón y de la Casa del Obrero Mundial. </a:t>
          </a:r>
        </a:p>
      </dsp:txBody>
      <dsp:txXfrm>
        <a:off x="71410" y="1116960"/>
        <a:ext cx="1936442" cy="1261754"/>
      </dsp:txXfrm>
    </dsp:sp>
    <dsp:sp modelId="{3163F6CF-160F-4C9D-AB35-BFF2DB9B3E48}">
      <dsp:nvSpPr>
        <dsp:cNvPr id="0" name=""/>
        <dsp:cNvSpPr/>
      </dsp:nvSpPr>
      <dsp:spPr>
        <a:xfrm>
          <a:off x="2378233" y="1048702"/>
          <a:ext cx="2072958" cy="1398270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orbel" panose="020B0503020204020204" pitchFamily="34" charset="0"/>
            </a:rPr>
            <a:t>El presidente envió un proyecto de constitución bastante moderado. En el Congreso hubo discusiones, a veces violentas y apasionadas, entre los dos grupos. Se estaban tratando temas fundamentales como la educación, la situación agraria y las condiciones de trabajo y previsión social.</a:t>
          </a:r>
        </a:p>
      </dsp:txBody>
      <dsp:txXfrm>
        <a:off x="2446491" y="1116960"/>
        <a:ext cx="1936442" cy="1261754"/>
      </dsp:txXfrm>
    </dsp:sp>
    <dsp:sp modelId="{6ACE735F-E004-461B-974A-D032F6AD55CE}">
      <dsp:nvSpPr>
        <dsp:cNvPr id="0" name=""/>
        <dsp:cNvSpPr/>
      </dsp:nvSpPr>
      <dsp:spPr>
        <a:xfrm>
          <a:off x="4753313" y="1048702"/>
          <a:ext cx="2072958" cy="1398270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222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50" kern="1200">
              <a:latin typeface="Corbel" panose="020B0503020204020204" pitchFamily="34" charset="0"/>
            </a:rPr>
            <a:t>El texto constitucional confirmó el modelo de organización política establecido desde 1857: el sistema federal, conformado por estados libres y soberanos en cuanto a su régimen interior y mantuvo la separación de poderes. También dio continuidad a la idea de reconocer la soberanía popular como base en el sistema democrático.</a:t>
          </a:r>
        </a:p>
      </dsp:txBody>
      <dsp:txXfrm>
        <a:off x="4821571" y="1116960"/>
        <a:ext cx="1936442" cy="12617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28</cp:revision>
  <dcterms:created xsi:type="dcterms:W3CDTF">2018-02-19T17:58:00Z</dcterms:created>
  <dcterms:modified xsi:type="dcterms:W3CDTF">2018-03-02T15:46:00Z</dcterms:modified>
</cp:coreProperties>
</file>