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BB" w:rsidRDefault="008C38BB" w:rsidP="008C38BB">
      <w:pPr>
        <w:pStyle w:val="Ttulo5"/>
        <w:numPr>
          <w:ilvl w:val="2"/>
          <w:numId w:val="1"/>
        </w:numPr>
        <w:jc w:val="both"/>
        <w:rPr>
          <w:rStyle w:val="Textoennegrita"/>
          <w:b/>
          <w:bCs w:val="0"/>
        </w:rPr>
      </w:pPr>
      <w:bookmarkStart w:id="0" w:name="_Toc505010449"/>
      <w:r>
        <w:rPr>
          <w:rStyle w:val="Textoennegrita"/>
          <w:sz w:val="22"/>
        </w:rPr>
        <w:t>Educación.</w:t>
      </w:r>
      <w:bookmarkEnd w:id="0"/>
    </w:p>
    <w:p w:rsidR="008C38BB" w:rsidRDefault="008C38BB" w:rsidP="008C38BB">
      <w:pPr>
        <w:autoSpaceDE w:val="0"/>
        <w:adjustRightInd w:val="0"/>
        <w:jc w:val="both"/>
        <w:rPr>
          <w:rFonts w:ascii="Corbel" w:hAnsi="Corbel" w:cs="ArialMT"/>
          <w:color w:val="241F1F"/>
        </w:rPr>
      </w:pPr>
      <w:r>
        <w:rPr>
          <w:rFonts w:ascii="Corbel" w:hAnsi="Corbel" w:cs="ArialMT"/>
          <w:color w:val="241F1F"/>
        </w:rPr>
        <w:t>La educación es uno de los factores que mayor impacto tiene en el desarrollo de una sociedad, así que resulta de vital importancia que el gobierno dedique recursos y esfuerzos suficientes  a este ámbito. Específicamente la educación formal de una persona es importante pues le permite desarrollar su potencial y desempeñar un trabajo productivo.</w:t>
      </w:r>
    </w:p>
    <w:p w:rsidR="008C38BB" w:rsidRDefault="008C38BB" w:rsidP="008C38BB">
      <w:pPr>
        <w:autoSpaceDE w:val="0"/>
        <w:adjustRightInd w:val="0"/>
        <w:jc w:val="both"/>
        <w:rPr>
          <w:rFonts w:ascii="Corbel" w:hAnsi="Corbel" w:cs="ArialMT"/>
          <w:color w:val="241F1F"/>
        </w:rPr>
      </w:pPr>
      <w:r>
        <w:rPr>
          <w:rFonts w:ascii="Corbel" w:hAnsi="Corbel" w:cs="ArialMT"/>
          <w:color w:val="241F1F"/>
        </w:rPr>
        <w:t>El objetivo principal de estas instituciones es atender las necesidades educativas de los ciudadanos, acercándoles los servicio del nivel, campo de conocimiento y modalidad que requieran al lugar donde se encuentren. En este sentido, las instituciones educativas se han tenido que diversificar, atendiendo varios campos del conocimiento y dando origen a un trabajo multidisciplinario.</w:t>
      </w:r>
    </w:p>
    <w:p w:rsidR="008C38BB" w:rsidRDefault="008C38BB" w:rsidP="008C38BB">
      <w:pPr>
        <w:autoSpaceDE w:val="0"/>
        <w:adjustRightInd w:val="0"/>
        <w:jc w:val="both"/>
        <w:rPr>
          <w:rFonts w:ascii="Corbel" w:hAnsi="Corbel" w:cs="ArialMT"/>
          <w:color w:val="241F1F"/>
        </w:rPr>
        <w:sectPr w:rsidR="008C38B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C38BB" w:rsidRPr="008C38BB" w:rsidRDefault="008C38BB" w:rsidP="008C38BB">
      <w:pPr>
        <w:autoSpaceDE w:val="0"/>
        <w:adjustRightInd w:val="0"/>
        <w:jc w:val="both"/>
        <w:rPr>
          <w:rFonts w:ascii="Corbel" w:hAnsi="Corbel" w:cs="ArialMT"/>
          <w:color w:val="241F1F"/>
        </w:rPr>
      </w:pPr>
      <w:bookmarkStart w:id="1" w:name="_GoBack"/>
      <w:r w:rsidRPr="008C38BB">
        <w:rPr>
          <w:rFonts w:ascii="Corbel" w:hAnsi="Corbel" w:cs="ArialMT"/>
          <w:color w:val="241F1F"/>
        </w:rPr>
        <w:t>Las principales funciones de una institución educativa son:</w:t>
      </w:r>
    </w:p>
    <w:p w:rsidR="008C38BB" w:rsidRPr="008C38BB" w:rsidRDefault="008C38BB" w:rsidP="008C38BB">
      <w:pPr>
        <w:autoSpaceDE w:val="0"/>
        <w:adjustRightInd w:val="0"/>
        <w:jc w:val="both"/>
        <w:rPr>
          <w:rFonts w:ascii="Corbel" w:hAnsi="Corbel" w:cs="ArialMT"/>
          <w:color w:val="241F1F"/>
        </w:rPr>
      </w:pPr>
      <w:r w:rsidRPr="008C38BB">
        <w:rPr>
          <w:rFonts w:ascii="Corbel" w:hAnsi="Corbel" w:cs="ArialMT"/>
          <w:color w:val="241F1F"/>
        </w:rPr>
        <w:t>• Desarrollar en los ciudadanos habilidades, destrezas, conocimientos y, en general, competencias que le sean útiles para afrontar y resolver problemas de la vida diaria.</w:t>
      </w:r>
    </w:p>
    <w:p w:rsidR="008C38BB" w:rsidRPr="008C38BB" w:rsidRDefault="008C38BB" w:rsidP="008C38BB">
      <w:pPr>
        <w:autoSpaceDE w:val="0"/>
        <w:adjustRightInd w:val="0"/>
        <w:jc w:val="both"/>
        <w:rPr>
          <w:rFonts w:ascii="Corbel" w:hAnsi="Corbel" w:cs="ArialMT"/>
          <w:color w:val="241F1F"/>
        </w:rPr>
      </w:pPr>
      <w:r w:rsidRPr="008C38BB">
        <w:rPr>
          <w:rFonts w:ascii="Corbel" w:hAnsi="Corbel" w:cs="ArialMT"/>
          <w:color w:val="241F1F"/>
        </w:rPr>
        <w:t>• Ofrecer servicios educativos de calidad.</w:t>
      </w:r>
    </w:p>
    <w:p w:rsidR="008C38BB" w:rsidRPr="008C38BB" w:rsidRDefault="008C38BB" w:rsidP="008C38BB">
      <w:pPr>
        <w:autoSpaceDE w:val="0"/>
        <w:adjustRightInd w:val="0"/>
        <w:jc w:val="both"/>
        <w:rPr>
          <w:rFonts w:ascii="Corbel" w:hAnsi="Corbel" w:cs="ArialMT"/>
          <w:color w:val="241F1F"/>
        </w:rPr>
      </w:pPr>
      <w:r w:rsidRPr="008C38BB">
        <w:rPr>
          <w:rFonts w:ascii="Corbel" w:hAnsi="Corbel" w:cs="ArialMT"/>
          <w:color w:val="241F1F"/>
        </w:rPr>
        <w:t>• Desarrollar programas de estudio pertinentes para cada nivel educativo.</w:t>
      </w:r>
    </w:p>
    <w:p w:rsidR="008C38BB" w:rsidRPr="008C38BB" w:rsidRDefault="008C38BB" w:rsidP="008C38BB">
      <w:pPr>
        <w:autoSpaceDE w:val="0"/>
        <w:adjustRightInd w:val="0"/>
        <w:jc w:val="both"/>
        <w:rPr>
          <w:rFonts w:ascii="Corbel" w:hAnsi="Corbel" w:cs="ArialMT"/>
          <w:color w:val="241F1F"/>
        </w:rPr>
      </w:pPr>
      <w:r w:rsidRPr="008C38BB">
        <w:rPr>
          <w:rFonts w:ascii="Corbel" w:hAnsi="Corbel" w:cs="ArialMT"/>
          <w:color w:val="241F1F"/>
        </w:rPr>
        <w:t>• Promover y crear las condiciones para que se pueda realizar investigación en las diferentes disciplinas de estudio.</w:t>
      </w:r>
    </w:p>
    <w:p w:rsidR="008C38BB" w:rsidRDefault="008C38BB" w:rsidP="008C38BB">
      <w:pPr>
        <w:autoSpaceDE w:val="0"/>
        <w:adjustRightInd w:val="0"/>
        <w:jc w:val="both"/>
        <w:rPr>
          <w:rFonts w:ascii="Corbel" w:hAnsi="Corbel" w:cs="ArialMT"/>
          <w:color w:val="241F1F"/>
        </w:rPr>
      </w:pPr>
      <w:r>
        <w:rPr>
          <w:rFonts w:ascii="Corbel" w:hAnsi="Corbel" w:cs="ArialMT"/>
          <w:color w:val="241F1F"/>
        </w:rPr>
        <w:t>México cuenta con una diversidad de instituciones públicas dedicadas a atender las necesidades de la sociedad.</w:t>
      </w:r>
    </w:p>
    <w:p w:rsidR="008C38BB" w:rsidRPr="00C827AF" w:rsidRDefault="008C38BB" w:rsidP="008C38BB">
      <w:pPr>
        <w:autoSpaceDE w:val="0"/>
        <w:adjustRightInd w:val="0"/>
        <w:jc w:val="both"/>
        <w:rPr>
          <w:rFonts w:ascii="Corbel" w:hAnsi="Corbel" w:cs="ArialMT"/>
          <w:color w:val="FF0000"/>
        </w:rPr>
      </w:pPr>
      <w:r w:rsidRPr="00C827AF">
        <w:rPr>
          <w:rFonts w:ascii="Corbel" w:hAnsi="Corbel" w:cs="ArialMT" w:hint="eastAsia"/>
          <w:color w:val="FF0000"/>
        </w:rPr>
        <w:t>https://encrypted-tbn0.gstatic.com/images?q=tbn:ANd9GcRiGR7oT_Cth7nOL_QQfeSZQ2ZvkrvSW1uK2tdJkgMzns1Tqdrp</w:t>
      </w:r>
    </w:p>
    <w:bookmarkEnd w:id="1"/>
    <w:p w:rsidR="008C38BB" w:rsidRDefault="008C38BB" w:rsidP="008C38BB">
      <w:pPr>
        <w:autoSpaceDE w:val="0"/>
        <w:adjustRightInd w:val="0"/>
        <w:jc w:val="both"/>
        <w:rPr>
          <w:rFonts w:ascii="Corbel" w:hAnsi="Corbel" w:cs="ArialMT"/>
          <w:color w:val="241F1F"/>
        </w:rPr>
        <w:sectPr w:rsidR="008C38BB" w:rsidSect="008C38B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C38BB" w:rsidRDefault="008C38BB" w:rsidP="008C38BB">
      <w:pPr>
        <w:autoSpaceDE w:val="0"/>
        <w:adjustRightInd w:val="0"/>
        <w:jc w:val="both"/>
        <w:rPr>
          <w:rFonts w:ascii="Corbel" w:hAnsi="Corbel" w:cs="ArialMT"/>
          <w:color w:val="241F1F"/>
        </w:rPr>
      </w:pPr>
      <w:r>
        <w:rPr>
          <w:rFonts w:ascii="Corbel" w:hAnsi="Corbel" w:cs="ArialMT"/>
          <w:color w:val="241F1F"/>
        </w:rPr>
        <w:t>El órgano rector a nivel federal de los servicios educativos en todos los niveles es la Secretaría de Educación Pública (SEP) que tiene un sinnúmero de funciones, entre las principales están:</w:t>
      </w:r>
    </w:p>
    <w:p w:rsidR="008C38BB" w:rsidRDefault="008C38BB" w:rsidP="008C38BB">
      <w:pPr>
        <w:autoSpaceDE w:val="0"/>
        <w:adjustRightInd w:val="0"/>
        <w:jc w:val="both"/>
        <w:rPr>
          <w:rFonts w:ascii="Corbel" w:hAnsi="Corbel" w:cs="ArialMT"/>
          <w:color w:val="241F1F"/>
        </w:rPr>
      </w:pPr>
    </w:p>
    <w:p w:rsidR="008C38BB" w:rsidRDefault="008C38BB" w:rsidP="008C38BB">
      <w:pPr>
        <w:autoSpaceDE w:val="0"/>
        <w:adjustRightInd w:val="0"/>
        <w:jc w:val="both"/>
        <w:rPr>
          <w:rFonts w:ascii="Corbel" w:hAnsi="Corbel" w:cs="ArialMT"/>
          <w:color w:val="241F1F"/>
        </w:rPr>
      </w:pPr>
      <w:r>
        <w:rPr>
          <w:rFonts w:ascii="Corbel" w:hAnsi="Corbel" w:cs="ArialMT"/>
          <w:noProof/>
          <w:color w:val="241F1F"/>
          <w:lang w:eastAsia="es-MX"/>
        </w:rPr>
        <w:drawing>
          <wp:inline distT="0" distB="0" distL="0" distR="0" wp14:anchorId="66A12359" wp14:editId="4ED5EA3E">
            <wp:extent cx="5520055" cy="3206115"/>
            <wp:effectExtent l="38100" t="0" r="42545" b="0"/>
            <wp:docPr id="23" name="Diagrama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C38BB" w:rsidRDefault="008C38BB" w:rsidP="008C38BB">
      <w:pPr>
        <w:autoSpaceDE w:val="0"/>
        <w:adjustRightInd w:val="0"/>
        <w:jc w:val="both"/>
        <w:rPr>
          <w:rFonts w:ascii="Corbel" w:hAnsi="Corbel" w:cs="ArialMT"/>
          <w:color w:val="241F1F"/>
        </w:rPr>
      </w:pPr>
      <w:r>
        <w:rPr>
          <w:rFonts w:ascii="Corbel" w:hAnsi="Corbel" w:cs="ArialMT"/>
          <w:color w:val="241F1F"/>
        </w:rPr>
        <w:lastRenderedPageBreak/>
        <w:t xml:space="preserve">Existen algunos organismos dentro de las instituciones culturales que dependen de la SEP como el CONACULTA, el INAH y el INBA. </w:t>
      </w:r>
    </w:p>
    <w:p w:rsidR="008C38BB" w:rsidRDefault="008C38BB" w:rsidP="008C38BB">
      <w:pPr>
        <w:autoSpaceDE w:val="0"/>
        <w:adjustRightInd w:val="0"/>
        <w:jc w:val="both"/>
        <w:rPr>
          <w:rFonts w:ascii="Corbel" w:hAnsi="Corbel" w:cs="ArialMT"/>
          <w:color w:val="241F1F"/>
        </w:rPr>
      </w:pPr>
      <w:r>
        <w:rPr>
          <w:rFonts w:ascii="Corbel" w:hAnsi="Corbel" w:cs="ArialMT"/>
          <w:color w:val="241F1F"/>
        </w:rPr>
        <w:t>Es importante considerar que también existen instituciones particulares que ofrecen servicios en alguno de los ámbitos que hemos revisado. Por ejemplo, en el educativo, las escuelas particulares; en el cultural, academias que ofrecen cursos y formación artística; y en el económico, instituciones bancarias.</w:t>
      </w:r>
    </w:p>
    <w:p w:rsidR="008C38BB" w:rsidRDefault="008C38BB" w:rsidP="008C38BB">
      <w:pPr>
        <w:rPr>
          <w:rFonts w:hint="eastAsia"/>
        </w:rPr>
      </w:pPr>
    </w:p>
    <w:p w:rsidR="000D6848" w:rsidRDefault="000D6848"/>
    <w:sectPr w:rsidR="000D6848" w:rsidSect="008C38BB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1713B"/>
    <w:multiLevelType w:val="multilevel"/>
    <w:tmpl w:val="5DEA4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1020" w:hanging="660"/>
      </w:pPr>
    </w:lvl>
    <w:lvl w:ilvl="2">
      <w:start w:val="3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0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BB"/>
    <w:rsid w:val="000D6848"/>
    <w:rsid w:val="008C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0ADD9-FFD0-4F9D-A546-78503C8B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38BB"/>
    <w:pPr>
      <w:keepNext/>
      <w:keepLines/>
      <w:suppressAutoHyphens/>
      <w:autoSpaceDN w:val="0"/>
      <w:spacing w:before="40" w:after="0" w:line="360" w:lineRule="auto"/>
      <w:outlineLvl w:val="4"/>
    </w:pPr>
    <w:rPr>
      <w:rFonts w:ascii="Corbel" w:eastAsiaTheme="majorEastAsia" w:hAnsi="Corbel" w:cs="Mangal"/>
      <w:b/>
      <w:kern w:val="3"/>
      <w:sz w:val="24"/>
      <w:szCs w:val="21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semiHidden/>
    <w:rsid w:val="008C38BB"/>
    <w:rPr>
      <w:rFonts w:ascii="Corbel" w:eastAsiaTheme="majorEastAsia" w:hAnsi="Corbel" w:cs="Mangal"/>
      <w:b/>
      <w:kern w:val="3"/>
      <w:sz w:val="24"/>
      <w:szCs w:val="21"/>
      <w:lang w:eastAsia="zh-CN" w:bidi="hi-IN"/>
    </w:rPr>
  </w:style>
  <w:style w:type="character" w:styleId="Textoennegrita">
    <w:name w:val="Strong"/>
    <w:basedOn w:val="Fuentedeprrafopredeter"/>
    <w:uiPriority w:val="22"/>
    <w:qFormat/>
    <w:rsid w:val="008C3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482486-ACA4-4100-B4C3-FAD0F22F7D55}" type="doc">
      <dgm:prSet loTypeId="urn:microsoft.com/office/officeart/2005/8/layout/default" loCatId="list" qsTypeId="urn:microsoft.com/office/officeart/2005/8/quickstyle/simple3" qsCatId="simple" csTypeId="urn:microsoft.com/office/officeart/2005/8/colors/accent2_3" csCatId="accent2" phldr="1"/>
      <dgm:spPr/>
      <dgm:t>
        <a:bodyPr/>
        <a:lstStyle/>
        <a:p>
          <a:endParaRPr lang="es-MX"/>
        </a:p>
      </dgm:t>
    </dgm:pt>
    <dgm:pt modelId="{BFA01E4B-A3D7-4CBD-8963-77FBF20C75C4}">
      <dgm:prSet phldrT="[Texto]" custT="1"/>
      <dgm:spPr/>
      <dgm:t>
        <a:bodyPr/>
        <a:lstStyle/>
        <a:p>
          <a:r>
            <a:rPr lang="es-MX" sz="1050">
              <a:latin typeface="Corbel" panose="020B0503020204020204" pitchFamily="34" charset="0"/>
            </a:rPr>
            <a:t>Desarrollar planes, programas y contenidos de estudio en todos los niveles educativos.</a:t>
          </a:r>
        </a:p>
      </dgm:t>
    </dgm:pt>
    <dgm:pt modelId="{998EC24A-BF66-41EC-A987-57DFE0673CC1}" type="parTrans" cxnId="{00CF71FF-C066-4460-8450-20947D38F81C}">
      <dgm:prSet/>
      <dgm:spPr/>
      <dgm:t>
        <a:bodyPr/>
        <a:lstStyle/>
        <a:p>
          <a:endParaRPr lang="es-MX" sz="1050">
            <a:latin typeface="Corbel" panose="020B0503020204020204" pitchFamily="34" charset="0"/>
          </a:endParaRPr>
        </a:p>
      </dgm:t>
    </dgm:pt>
    <dgm:pt modelId="{08247CEE-D7EB-4239-B0A3-7DA4A527B28D}" type="sibTrans" cxnId="{00CF71FF-C066-4460-8450-20947D38F81C}">
      <dgm:prSet/>
      <dgm:spPr/>
      <dgm:t>
        <a:bodyPr/>
        <a:lstStyle/>
        <a:p>
          <a:endParaRPr lang="es-MX" sz="1050">
            <a:latin typeface="Corbel" panose="020B0503020204020204" pitchFamily="34" charset="0"/>
          </a:endParaRPr>
        </a:p>
      </dgm:t>
    </dgm:pt>
    <dgm:pt modelId="{7588F39B-B575-4DE3-B695-7009E6FC8C8A}">
      <dgm:prSet phldrT="[Texto]" custT="1"/>
      <dgm:spPr/>
      <dgm:t>
        <a:bodyPr/>
        <a:lstStyle/>
        <a:p>
          <a:r>
            <a:rPr lang="es-MX" sz="1050">
              <a:latin typeface="Corbel" panose="020B0503020204020204" pitchFamily="34" charset="0"/>
            </a:rPr>
            <a:t>Supervisar y vigilar la educación impartida por las instituciones particulares incorporadas a ella.</a:t>
          </a:r>
        </a:p>
      </dgm:t>
    </dgm:pt>
    <dgm:pt modelId="{016E485E-EF03-4AC3-B901-AAF8E841552F}" type="parTrans" cxnId="{F2F8BB34-50A6-46E7-80A8-ACB980B5AA6C}">
      <dgm:prSet/>
      <dgm:spPr/>
      <dgm:t>
        <a:bodyPr/>
        <a:lstStyle/>
        <a:p>
          <a:endParaRPr lang="es-MX" sz="1050">
            <a:latin typeface="Corbel" panose="020B0503020204020204" pitchFamily="34" charset="0"/>
          </a:endParaRPr>
        </a:p>
      </dgm:t>
    </dgm:pt>
    <dgm:pt modelId="{D78E4907-422B-4679-B140-B2531616F0C0}" type="sibTrans" cxnId="{F2F8BB34-50A6-46E7-80A8-ACB980B5AA6C}">
      <dgm:prSet/>
      <dgm:spPr/>
      <dgm:t>
        <a:bodyPr/>
        <a:lstStyle/>
        <a:p>
          <a:endParaRPr lang="es-MX" sz="1050">
            <a:latin typeface="Corbel" panose="020B0503020204020204" pitchFamily="34" charset="0"/>
          </a:endParaRPr>
        </a:p>
      </dgm:t>
    </dgm:pt>
    <dgm:pt modelId="{F3ABE286-DECA-4F9B-96B7-919F43019073}">
      <dgm:prSet phldrT="[Texto]" custT="1"/>
      <dgm:spPr/>
      <dgm:t>
        <a:bodyPr/>
        <a:lstStyle/>
        <a:p>
          <a:r>
            <a:rPr lang="es-MX" sz="1050">
              <a:latin typeface="Corbel" panose="020B0503020204020204" pitchFamily="34" charset="0"/>
            </a:rPr>
            <a:t>Otorgar revalidación de estudios realizados en otros países.</a:t>
          </a:r>
        </a:p>
      </dgm:t>
    </dgm:pt>
    <dgm:pt modelId="{0C2AF079-C572-4803-92DF-01DE13BC42CE}" type="parTrans" cxnId="{4661D825-2B9C-44E0-80AB-F4AF1A0685CF}">
      <dgm:prSet/>
      <dgm:spPr/>
      <dgm:t>
        <a:bodyPr/>
        <a:lstStyle/>
        <a:p>
          <a:endParaRPr lang="es-MX" sz="1050">
            <a:latin typeface="Corbel" panose="020B0503020204020204" pitchFamily="34" charset="0"/>
          </a:endParaRPr>
        </a:p>
      </dgm:t>
    </dgm:pt>
    <dgm:pt modelId="{ECECD943-0025-402F-A1AE-C1CFAF84A62B}" type="sibTrans" cxnId="{4661D825-2B9C-44E0-80AB-F4AF1A0685CF}">
      <dgm:prSet/>
      <dgm:spPr/>
      <dgm:t>
        <a:bodyPr/>
        <a:lstStyle/>
        <a:p>
          <a:endParaRPr lang="es-MX" sz="1050">
            <a:latin typeface="Corbel" panose="020B0503020204020204" pitchFamily="34" charset="0"/>
          </a:endParaRPr>
        </a:p>
      </dgm:t>
    </dgm:pt>
    <dgm:pt modelId="{79E765CB-B9B9-4381-92B4-77677145E955}">
      <dgm:prSet phldrT="[Texto]" custT="1"/>
      <dgm:spPr/>
      <dgm:t>
        <a:bodyPr/>
        <a:lstStyle/>
        <a:p>
          <a:r>
            <a:rPr lang="es-MX" sz="1050">
              <a:latin typeface="Corbel" panose="020B0503020204020204" pitchFamily="34" charset="0"/>
            </a:rPr>
            <a:t>Administrar y otorgar becas para estudios.</a:t>
          </a:r>
        </a:p>
      </dgm:t>
    </dgm:pt>
    <dgm:pt modelId="{3B55BFEF-1749-4127-AFDF-2E2570EDF221}" type="parTrans" cxnId="{52969268-4D3A-4AF9-9C10-2165F7E92B85}">
      <dgm:prSet/>
      <dgm:spPr/>
      <dgm:t>
        <a:bodyPr/>
        <a:lstStyle/>
        <a:p>
          <a:endParaRPr lang="es-MX" sz="1050">
            <a:latin typeface="Corbel" panose="020B0503020204020204" pitchFamily="34" charset="0"/>
          </a:endParaRPr>
        </a:p>
      </dgm:t>
    </dgm:pt>
    <dgm:pt modelId="{721A65C7-80BA-4DC3-9E88-4B15711F71EF}" type="sibTrans" cxnId="{52969268-4D3A-4AF9-9C10-2165F7E92B85}">
      <dgm:prSet/>
      <dgm:spPr/>
      <dgm:t>
        <a:bodyPr/>
        <a:lstStyle/>
        <a:p>
          <a:endParaRPr lang="es-MX" sz="1050">
            <a:latin typeface="Corbel" panose="020B0503020204020204" pitchFamily="34" charset="0"/>
          </a:endParaRPr>
        </a:p>
      </dgm:t>
    </dgm:pt>
    <dgm:pt modelId="{67B4444F-258C-4239-9B47-4E08F34103C7}">
      <dgm:prSet phldrT="[Texto]" custT="1"/>
      <dgm:spPr/>
      <dgm:t>
        <a:bodyPr/>
        <a:lstStyle/>
        <a:p>
          <a:r>
            <a:rPr lang="es-MX" sz="1050">
              <a:latin typeface="Corbel" panose="020B0503020204020204" pitchFamily="34" charset="0"/>
            </a:rPr>
            <a:t>Promover la investigación científica y técnica.</a:t>
          </a:r>
        </a:p>
      </dgm:t>
    </dgm:pt>
    <dgm:pt modelId="{734EC581-D755-4857-935A-3EEECF8D447B}" type="parTrans" cxnId="{494C101B-0070-4DDD-A9CA-80169501A952}">
      <dgm:prSet/>
      <dgm:spPr/>
      <dgm:t>
        <a:bodyPr/>
        <a:lstStyle/>
        <a:p>
          <a:endParaRPr lang="es-MX" sz="1050">
            <a:latin typeface="Corbel" panose="020B0503020204020204" pitchFamily="34" charset="0"/>
          </a:endParaRPr>
        </a:p>
      </dgm:t>
    </dgm:pt>
    <dgm:pt modelId="{FA1CC05E-B729-4F6B-9097-833989DB6711}" type="sibTrans" cxnId="{494C101B-0070-4DDD-A9CA-80169501A952}">
      <dgm:prSet/>
      <dgm:spPr/>
      <dgm:t>
        <a:bodyPr/>
        <a:lstStyle/>
        <a:p>
          <a:endParaRPr lang="es-MX" sz="1050">
            <a:latin typeface="Corbel" panose="020B0503020204020204" pitchFamily="34" charset="0"/>
          </a:endParaRPr>
        </a:p>
      </dgm:t>
    </dgm:pt>
    <dgm:pt modelId="{4C77AE13-D943-41EF-A5B1-4B4DD602898C}" type="pres">
      <dgm:prSet presAssocID="{EF482486-ACA4-4100-B4C3-FAD0F22F7D55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5169280F-37BF-43CD-ACED-C14339DF0480}" type="pres">
      <dgm:prSet presAssocID="{BFA01E4B-A3D7-4CBD-8963-77FBF20C75C4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73E157B-9D74-4F98-A0D3-E6F8EF009280}" type="pres">
      <dgm:prSet presAssocID="{08247CEE-D7EB-4239-B0A3-7DA4A527B28D}" presName="sibTrans" presStyleCnt="0"/>
      <dgm:spPr/>
    </dgm:pt>
    <dgm:pt modelId="{0E90BA60-4F86-4327-8F00-8ECF0ADC9E5F}" type="pres">
      <dgm:prSet presAssocID="{7588F39B-B575-4DE3-B695-7009E6FC8C8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E009998-9247-4427-94B1-2ECB6807F3BB}" type="pres">
      <dgm:prSet presAssocID="{D78E4907-422B-4679-B140-B2531616F0C0}" presName="sibTrans" presStyleCnt="0"/>
      <dgm:spPr/>
    </dgm:pt>
    <dgm:pt modelId="{F7237893-4ADE-4BA4-AA71-DD0A6653CBDC}" type="pres">
      <dgm:prSet presAssocID="{F3ABE286-DECA-4F9B-96B7-919F4301907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73F6DD5-84E4-4ADF-9AD2-6A4E731219DE}" type="pres">
      <dgm:prSet presAssocID="{ECECD943-0025-402F-A1AE-C1CFAF84A62B}" presName="sibTrans" presStyleCnt="0"/>
      <dgm:spPr/>
    </dgm:pt>
    <dgm:pt modelId="{1876CC93-2B71-4D59-999C-2E06BA7CFBBC}" type="pres">
      <dgm:prSet presAssocID="{79E765CB-B9B9-4381-92B4-77677145E955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75B4734-9BE1-49FB-A58B-BB18C53ABC70}" type="pres">
      <dgm:prSet presAssocID="{721A65C7-80BA-4DC3-9E88-4B15711F71EF}" presName="sibTrans" presStyleCnt="0"/>
      <dgm:spPr/>
    </dgm:pt>
    <dgm:pt modelId="{4E617887-957E-4C47-82A1-4EC8E35E133A}" type="pres">
      <dgm:prSet presAssocID="{67B4444F-258C-4239-9B47-4E08F34103C7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DFE41693-5531-4F76-938D-98A75D122361}" type="presOf" srcId="{67B4444F-258C-4239-9B47-4E08F34103C7}" destId="{4E617887-957E-4C47-82A1-4EC8E35E133A}" srcOrd="0" destOrd="0" presId="urn:microsoft.com/office/officeart/2005/8/layout/default"/>
    <dgm:cxn modelId="{3515067B-0B53-4F20-A6B3-1A5B0EC0AF03}" type="presOf" srcId="{79E765CB-B9B9-4381-92B4-77677145E955}" destId="{1876CC93-2B71-4D59-999C-2E06BA7CFBBC}" srcOrd="0" destOrd="0" presId="urn:microsoft.com/office/officeart/2005/8/layout/default"/>
    <dgm:cxn modelId="{4661D825-2B9C-44E0-80AB-F4AF1A0685CF}" srcId="{EF482486-ACA4-4100-B4C3-FAD0F22F7D55}" destId="{F3ABE286-DECA-4F9B-96B7-919F43019073}" srcOrd="2" destOrd="0" parTransId="{0C2AF079-C572-4803-92DF-01DE13BC42CE}" sibTransId="{ECECD943-0025-402F-A1AE-C1CFAF84A62B}"/>
    <dgm:cxn modelId="{9E50DF10-C154-4593-A556-3D8F588A3405}" type="presOf" srcId="{EF482486-ACA4-4100-B4C3-FAD0F22F7D55}" destId="{4C77AE13-D943-41EF-A5B1-4B4DD602898C}" srcOrd="0" destOrd="0" presId="urn:microsoft.com/office/officeart/2005/8/layout/default"/>
    <dgm:cxn modelId="{1996F590-D518-42CE-9598-ECE7C8384512}" type="presOf" srcId="{BFA01E4B-A3D7-4CBD-8963-77FBF20C75C4}" destId="{5169280F-37BF-43CD-ACED-C14339DF0480}" srcOrd="0" destOrd="0" presId="urn:microsoft.com/office/officeart/2005/8/layout/default"/>
    <dgm:cxn modelId="{52969268-4D3A-4AF9-9C10-2165F7E92B85}" srcId="{EF482486-ACA4-4100-B4C3-FAD0F22F7D55}" destId="{79E765CB-B9B9-4381-92B4-77677145E955}" srcOrd="3" destOrd="0" parTransId="{3B55BFEF-1749-4127-AFDF-2E2570EDF221}" sibTransId="{721A65C7-80BA-4DC3-9E88-4B15711F71EF}"/>
    <dgm:cxn modelId="{F2F8BB34-50A6-46E7-80A8-ACB980B5AA6C}" srcId="{EF482486-ACA4-4100-B4C3-FAD0F22F7D55}" destId="{7588F39B-B575-4DE3-B695-7009E6FC8C8A}" srcOrd="1" destOrd="0" parTransId="{016E485E-EF03-4AC3-B901-AAF8E841552F}" sibTransId="{D78E4907-422B-4679-B140-B2531616F0C0}"/>
    <dgm:cxn modelId="{1A1C9B29-A08D-4112-9B22-44CC92551F7D}" type="presOf" srcId="{7588F39B-B575-4DE3-B695-7009E6FC8C8A}" destId="{0E90BA60-4F86-4327-8F00-8ECF0ADC9E5F}" srcOrd="0" destOrd="0" presId="urn:microsoft.com/office/officeart/2005/8/layout/default"/>
    <dgm:cxn modelId="{494C101B-0070-4DDD-A9CA-80169501A952}" srcId="{EF482486-ACA4-4100-B4C3-FAD0F22F7D55}" destId="{67B4444F-258C-4239-9B47-4E08F34103C7}" srcOrd="4" destOrd="0" parTransId="{734EC581-D755-4857-935A-3EEECF8D447B}" sibTransId="{FA1CC05E-B729-4F6B-9097-833989DB6711}"/>
    <dgm:cxn modelId="{3997F9EA-4EC4-4544-93EB-6CF3F4E6527B}" type="presOf" srcId="{F3ABE286-DECA-4F9B-96B7-919F43019073}" destId="{F7237893-4ADE-4BA4-AA71-DD0A6653CBDC}" srcOrd="0" destOrd="0" presId="urn:microsoft.com/office/officeart/2005/8/layout/default"/>
    <dgm:cxn modelId="{00CF71FF-C066-4460-8450-20947D38F81C}" srcId="{EF482486-ACA4-4100-B4C3-FAD0F22F7D55}" destId="{BFA01E4B-A3D7-4CBD-8963-77FBF20C75C4}" srcOrd="0" destOrd="0" parTransId="{998EC24A-BF66-41EC-A987-57DFE0673CC1}" sibTransId="{08247CEE-D7EB-4239-B0A3-7DA4A527B28D}"/>
    <dgm:cxn modelId="{326DD526-3025-4484-800E-E8DF638C9A0D}" type="presParOf" srcId="{4C77AE13-D943-41EF-A5B1-4B4DD602898C}" destId="{5169280F-37BF-43CD-ACED-C14339DF0480}" srcOrd="0" destOrd="0" presId="urn:microsoft.com/office/officeart/2005/8/layout/default"/>
    <dgm:cxn modelId="{AB1BF111-C235-41C2-9D1B-806C778F31AE}" type="presParOf" srcId="{4C77AE13-D943-41EF-A5B1-4B4DD602898C}" destId="{273E157B-9D74-4F98-A0D3-E6F8EF009280}" srcOrd="1" destOrd="0" presId="urn:microsoft.com/office/officeart/2005/8/layout/default"/>
    <dgm:cxn modelId="{3DB454F1-8D32-44F1-816D-68A692E06A5A}" type="presParOf" srcId="{4C77AE13-D943-41EF-A5B1-4B4DD602898C}" destId="{0E90BA60-4F86-4327-8F00-8ECF0ADC9E5F}" srcOrd="2" destOrd="0" presId="urn:microsoft.com/office/officeart/2005/8/layout/default"/>
    <dgm:cxn modelId="{BB4B6DD0-8560-4E3E-8E16-6082F5EAFA4A}" type="presParOf" srcId="{4C77AE13-D943-41EF-A5B1-4B4DD602898C}" destId="{0E009998-9247-4427-94B1-2ECB6807F3BB}" srcOrd="3" destOrd="0" presId="urn:microsoft.com/office/officeart/2005/8/layout/default"/>
    <dgm:cxn modelId="{6EC75F7C-38DA-407E-B45C-20E25C20A053}" type="presParOf" srcId="{4C77AE13-D943-41EF-A5B1-4B4DD602898C}" destId="{F7237893-4ADE-4BA4-AA71-DD0A6653CBDC}" srcOrd="4" destOrd="0" presId="urn:microsoft.com/office/officeart/2005/8/layout/default"/>
    <dgm:cxn modelId="{918CFD1E-A4CE-4A8B-83C5-C734AB7328AD}" type="presParOf" srcId="{4C77AE13-D943-41EF-A5B1-4B4DD602898C}" destId="{A73F6DD5-84E4-4ADF-9AD2-6A4E731219DE}" srcOrd="5" destOrd="0" presId="urn:microsoft.com/office/officeart/2005/8/layout/default"/>
    <dgm:cxn modelId="{2275ECBB-8036-4B8C-BE44-BECF0E1CE05C}" type="presParOf" srcId="{4C77AE13-D943-41EF-A5B1-4B4DD602898C}" destId="{1876CC93-2B71-4D59-999C-2E06BA7CFBBC}" srcOrd="6" destOrd="0" presId="urn:microsoft.com/office/officeart/2005/8/layout/default"/>
    <dgm:cxn modelId="{C842C2E6-2CBC-476B-8DC3-D5DE59B8EF03}" type="presParOf" srcId="{4C77AE13-D943-41EF-A5B1-4B4DD602898C}" destId="{375B4734-9BE1-49FB-A58B-BB18C53ABC70}" srcOrd="7" destOrd="0" presId="urn:microsoft.com/office/officeart/2005/8/layout/default"/>
    <dgm:cxn modelId="{30845B64-00AF-4D77-AB11-34B57E8FF18B}" type="presParOf" srcId="{4C77AE13-D943-41EF-A5B1-4B4DD602898C}" destId="{4E617887-957E-4C47-82A1-4EC8E35E133A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69280F-37BF-43CD-ACED-C14339DF0480}">
      <dsp:nvSpPr>
        <dsp:cNvPr id="0" name=""/>
        <dsp:cNvSpPr/>
      </dsp:nvSpPr>
      <dsp:spPr>
        <a:xfrm>
          <a:off x="0" y="481796"/>
          <a:ext cx="1725017" cy="1035010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latin typeface="Corbel" panose="020B0503020204020204" pitchFamily="34" charset="0"/>
            </a:rPr>
            <a:t>Desarrollar planes, programas y contenidos de estudio en todos los niveles educativos.</a:t>
          </a:r>
        </a:p>
      </dsp:txBody>
      <dsp:txXfrm>
        <a:off x="0" y="481796"/>
        <a:ext cx="1725017" cy="1035010"/>
      </dsp:txXfrm>
    </dsp:sp>
    <dsp:sp modelId="{0E90BA60-4F86-4327-8F00-8ECF0ADC9E5F}">
      <dsp:nvSpPr>
        <dsp:cNvPr id="0" name=""/>
        <dsp:cNvSpPr/>
      </dsp:nvSpPr>
      <dsp:spPr>
        <a:xfrm>
          <a:off x="1897518" y="481796"/>
          <a:ext cx="1725017" cy="1035010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-120354"/>
                <a:satOff val="2542"/>
                <a:lumOff val="677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shade val="80000"/>
                <a:hueOff val="-120354"/>
                <a:satOff val="2542"/>
                <a:lumOff val="677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shade val="80000"/>
                <a:hueOff val="-120354"/>
                <a:satOff val="2542"/>
                <a:lumOff val="677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latin typeface="Corbel" panose="020B0503020204020204" pitchFamily="34" charset="0"/>
            </a:rPr>
            <a:t>Supervisar y vigilar la educación impartida por las instituciones particulares incorporadas a ella.</a:t>
          </a:r>
        </a:p>
      </dsp:txBody>
      <dsp:txXfrm>
        <a:off x="1897518" y="481796"/>
        <a:ext cx="1725017" cy="1035010"/>
      </dsp:txXfrm>
    </dsp:sp>
    <dsp:sp modelId="{F7237893-4ADE-4BA4-AA71-DD0A6653CBDC}">
      <dsp:nvSpPr>
        <dsp:cNvPr id="0" name=""/>
        <dsp:cNvSpPr/>
      </dsp:nvSpPr>
      <dsp:spPr>
        <a:xfrm>
          <a:off x="3795037" y="481796"/>
          <a:ext cx="1725017" cy="1035010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-240708"/>
                <a:satOff val="5083"/>
                <a:lumOff val="1354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shade val="80000"/>
                <a:hueOff val="-240708"/>
                <a:satOff val="5083"/>
                <a:lumOff val="1354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shade val="80000"/>
                <a:hueOff val="-240708"/>
                <a:satOff val="5083"/>
                <a:lumOff val="1354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latin typeface="Corbel" panose="020B0503020204020204" pitchFamily="34" charset="0"/>
            </a:rPr>
            <a:t>Otorgar revalidación de estudios realizados en otros países.</a:t>
          </a:r>
        </a:p>
      </dsp:txBody>
      <dsp:txXfrm>
        <a:off x="3795037" y="481796"/>
        <a:ext cx="1725017" cy="1035010"/>
      </dsp:txXfrm>
    </dsp:sp>
    <dsp:sp modelId="{1876CC93-2B71-4D59-999C-2E06BA7CFBBC}">
      <dsp:nvSpPr>
        <dsp:cNvPr id="0" name=""/>
        <dsp:cNvSpPr/>
      </dsp:nvSpPr>
      <dsp:spPr>
        <a:xfrm>
          <a:off x="948759" y="1689308"/>
          <a:ext cx="1725017" cy="1035010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-361061"/>
                <a:satOff val="7625"/>
                <a:lumOff val="2031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shade val="80000"/>
                <a:hueOff val="-361061"/>
                <a:satOff val="7625"/>
                <a:lumOff val="2031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shade val="80000"/>
                <a:hueOff val="-361061"/>
                <a:satOff val="7625"/>
                <a:lumOff val="2031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latin typeface="Corbel" panose="020B0503020204020204" pitchFamily="34" charset="0"/>
            </a:rPr>
            <a:t>Administrar y otorgar becas para estudios.</a:t>
          </a:r>
        </a:p>
      </dsp:txBody>
      <dsp:txXfrm>
        <a:off x="948759" y="1689308"/>
        <a:ext cx="1725017" cy="1035010"/>
      </dsp:txXfrm>
    </dsp:sp>
    <dsp:sp modelId="{4E617887-957E-4C47-82A1-4EC8E35E133A}">
      <dsp:nvSpPr>
        <dsp:cNvPr id="0" name=""/>
        <dsp:cNvSpPr/>
      </dsp:nvSpPr>
      <dsp:spPr>
        <a:xfrm>
          <a:off x="2846278" y="1689308"/>
          <a:ext cx="1725017" cy="1035010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-481415"/>
                <a:satOff val="10166"/>
                <a:lumOff val="2708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shade val="80000"/>
                <a:hueOff val="-481415"/>
                <a:satOff val="10166"/>
                <a:lumOff val="2708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shade val="80000"/>
                <a:hueOff val="-481415"/>
                <a:satOff val="10166"/>
                <a:lumOff val="2708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latin typeface="Corbel" panose="020B0503020204020204" pitchFamily="34" charset="0"/>
            </a:rPr>
            <a:t>Promover la investigación científica y técnica.</a:t>
          </a:r>
        </a:p>
      </dsp:txBody>
      <dsp:txXfrm>
        <a:off x="2846278" y="1689308"/>
        <a:ext cx="1725017" cy="10350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1743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2018-02-23T21:56:00Z</dcterms:created>
  <dcterms:modified xsi:type="dcterms:W3CDTF">2018-02-23T21:59:00Z</dcterms:modified>
</cp:coreProperties>
</file>