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3" w:rsidRDefault="00157416" w:rsidP="00157416">
      <w:pPr>
        <w:spacing w:after="0"/>
        <w:ind w:left="-142"/>
        <w:rPr>
          <w:rFonts w:ascii="Cambria" w:hAnsi="Cambria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B0E94" wp14:editId="799B34AE">
                <wp:simplePos x="0" y="0"/>
                <wp:positionH relativeFrom="column">
                  <wp:posOffset>1074420</wp:posOffset>
                </wp:positionH>
                <wp:positionV relativeFrom="paragraph">
                  <wp:posOffset>161290</wp:posOffset>
                </wp:positionV>
                <wp:extent cx="5562600" cy="6667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402" w:rsidRPr="00A0104C" w:rsidRDefault="002D13FA" w:rsidP="00CB7402">
                            <w:pPr>
                              <w:pStyle w:val="Ttulo"/>
                              <w:rPr>
                                <w:rFonts w:ascii="Script MT Bold" w:hAnsi="Script MT Bold"/>
                                <w:color w:val="557619" w:themeColor="accent5" w:themeShade="8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557619" w:themeColor="accent5" w:themeShade="80"/>
                                <w:sz w:val="68"/>
                                <w:szCs w:val="68"/>
                              </w:rPr>
                              <w:t>Unidad 4</w:t>
                            </w:r>
                            <w:r w:rsidR="00A0104C" w:rsidRPr="00A0104C">
                              <w:rPr>
                                <w:rFonts w:ascii="Script MT Bold" w:hAnsi="Script MT Bold"/>
                                <w:color w:val="557619" w:themeColor="accent5" w:themeShade="80"/>
                                <w:sz w:val="68"/>
                                <w:szCs w:val="68"/>
                              </w:rPr>
                              <w:t xml:space="preserve"> – </w:t>
                            </w:r>
                            <w:r>
                              <w:rPr>
                                <w:rFonts w:ascii="Script MT Bold" w:hAnsi="Script MT Bold"/>
                                <w:color w:val="557619" w:themeColor="accent5" w:themeShade="80"/>
                                <w:sz w:val="68"/>
                                <w:szCs w:val="68"/>
                              </w:rPr>
                              <w:t>Juicio de Amparo</w:t>
                            </w:r>
                          </w:p>
                          <w:p w:rsidR="009B6185" w:rsidRPr="00A0104C" w:rsidRDefault="009B6185" w:rsidP="009B6185">
                            <w:pPr>
                              <w:pStyle w:val="Ttulo"/>
                              <w:rPr>
                                <w:rFonts w:ascii="Script MT Bold" w:hAnsi="Script MT Bold"/>
                                <w:sz w:val="68"/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4.6pt;margin-top:12.7pt;width:438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" stroked="f">
                <v:textbox>
                  <w:txbxContent>
                    <w:p w:rsidR="00CB7402" w:rsidRPr="00A0104C" w:rsidRDefault="002D13FA" w:rsidP="00CB7402">
                      <w:pPr>
                        <w:pStyle w:val="Ttulo"/>
                        <w:rPr>
                          <w:rFonts w:ascii="Script MT Bold" w:hAnsi="Script MT Bold"/>
                          <w:color w:val="557619" w:themeColor="accent5" w:themeShade="80"/>
                          <w:sz w:val="68"/>
                          <w:szCs w:val="68"/>
                        </w:rPr>
                      </w:pPr>
                      <w:r>
                        <w:rPr>
                          <w:rFonts w:ascii="Script MT Bold" w:hAnsi="Script MT Bold"/>
                          <w:color w:val="557619" w:themeColor="accent5" w:themeShade="80"/>
                          <w:sz w:val="68"/>
                          <w:szCs w:val="68"/>
                        </w:rPr>
                        <w:t>Unidad 4</w:t>
                      </w:r>
                      <w:r w:rsidR="00A0104C" w:rsidRPr="00A0104C">
                        <w:rPr>
                          <w:rFonts w:ascii="Script MT Bold" w:hAnsi="Script MT Bold"/>
                          <w:color w:val="557619" w:themeColor="accent5" w:themeShade="80"/>
                          <w:sz w:val="68"/>
                          <w:szCs w:val="68"/>
                        </w:rPr>
                        <w:t xml:space="preserve"> – </w:t>
                      </w:r>
                      <w:r>
                        <w:rPr>
                          <w:rFonts w:ascii="Script MT Bold" w:hAnsi="Script MT Bold"/>
                          <w:color w:val="557619" w:themeColor="accent5" w:themeShade="80"/>
                          <w:sz w:val="68"/>
                          <w:szCs w:val="68"/>
                        </w:rPr>
                        <w:t>Juicio de Amparo</w:t>
                      </w:r>
                    </w:p>
                    <w:p w:rsidR="009B6185" w:rsidRPr="00A0104C" w:rsidRDefault="009B6185" w:rsidP="009B6185">
                      <w:pPr>
                        <w:pStyle w:val="Ttulo"/>
                        <w:rPr>
                          <w:rFonts w:ascii="Script MT Bold" w:hAnsi="Script MT Bold"/>
                          <w:sz w:val="68"/>
                          <w:szCs w:val="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7416">
        <w:rPr>
          <w:rFonts w:ascii="Script MT Bold" w:hAnsi="Script MT Bold"/>
          <w:noProof/>
          <w:color w:val="557619" w:themeColor="accent5" w:themeShade="80"/>
          <w:sz w:val="68"/>
          <w:szCs w:val="68"/>
          <w:lang w:eastAsia="es-MX"/>
        </w:rPr>
        <w:drawing>
          <wp:inline distT="0" distB="0" distL="0" distR="0" wp14:anchorId="5240ED26" wp14:editId="1FD6A10D">
            <wp:extent cx="1028700" cy="1019175"/>
            <wp:effectExtent l="0" t="0" r="0" b="9525"/>
            <wp:docPr id="10" name="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110" cy="10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6" w:rsidRPr="00157416" w:rsidRDefault="00157416" w:rsidP="005D767A">
      <w:pPr>
        <w:spacing w:before="240"/>
        <w:ind w:left="284"/>
        <w:rPr>
          <w:rFonts w:ascii="Cambria" w:hAnsi="Cambria"/>
          <w:sz w:val="2"/>
          <w:szCs w:val="24"/>
        </w:rPr>
      </w:pPr>
    </w:p>
    <w:p w:rsidR="005D767A" w:rsidRDefault="00A0104C" w:rsidP="002D13FA">
      <w:pPr>
        <w:spacing w:before="240"/>
        <w:ind w:left="284"/>
        <w:jc w:val="both"/>
        <w:rPr>
          <w:rFonts w:ascii="Cambria" w:hAnsi="Cambria"/>
          <w:sz w:val="24"/>
          <w:szCs w:val="24"/>
        </w:rPr>
      </w:pPr>
      <w:r w:rsidRPr="00646AEA">
        <w:rPr>
          <w:rFonts w:ascii="Cambria" w:hAnsi="Cambria"/>
          <w:sz w:val="24"/>
          <w:szCs w:val="24"/>
        </w:rPr>
        <w:t>Es un</w:t>
      </w:r>
      <w:r w:rsidR="002D13FA">
        <w:rPr>
          <w:rFonts w:ascii="Cambria" w:hAnsi="Cambria"/>
          <w:sz w:val="24"/>
          <w:szCs w:val="24"/>
        </w:rPr>
        <w:t xml:space="preserve"> medio de impugnación, por medio del cual un sujeto (persona física o moral), acude ante un órgano judicial, para reclamar que una autoridad, ya sea federal, local o municipal, ha violado sus garantías individuales; y solicita que lo restituyan en sus derechos. Amparar significa que la Justicia de la Unión, esto es, la Suprema Corte de Justicia de la Nación, ampara y protege al solicitante (agraviado), contra los actos de la autoridad que ha violado sus derechos. </w:t>
      </w:r>
    </w:p>
    <w:p w:rsidR="00C231A1" w:rsidRDefault="00C231A1" w:rsidP="002D13FA">
      <w:pPr>
        <w:spacing w:before="240"/>
        <w:ind w:left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Los artículos 103 y 107 de la Constitución Política de los Estados Unidos Mexicanos, y la Ley de Amparo brindan los fundamentos legales para la existencia de un amparo. </w:t>
      </w:r>
    </w:p>
    <w:p w:rsidR="00C231A1" w:rsidRPr="00461006" w:rsidRDefault="00C231A1" w:rsidP="002D13FA">
      <w:pPr>
        <w:spacing w:before="240"/>
        <w:ind w:left="284"/>
        <w:jc w:val="both"/>
        <w:rPr>
          <w:rFonts w:ascii="Cambria" w:hAnsi="Cambria"/>
          <w:b/>
          <w:color w:val="557619" w:themeColor="accent5" w:themeShade="80"/>
          <w:sz w:val="10"/>
          <w:szCs w:val="24"/>
        </w:rPr>
      </w:pPr>
    </w:p>
    <w:p w:rsidR="00C231A1" w:rsidRDefault="00C231A1" w:rsidP="002D13FA">
      <w:pPr>
        <w:spacing w:before="240"/>
        <w:ind w:left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color w:val="557619" w:themeColor="accent5" w:themeShade="80"/>
          <w:sz w:val="24"/>
          <w:szCs w:val="24"/>
        </w:rPr>
        <w:t>TIPOS DE AMPAROS</w:t>
      </w:r>
    </w:p>
    <w:p w:rsidR="00C231A1" w:rsidRDefault="002D13FA" w:rsidP="002D13FA">
      <w:pPr>
        <w:spacing w:before="240"/>
        <w:ind w:left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 conocen dos tipos de amparo, el amparo directo, que encuentra su fundamento legal en el artículo 158 de la Ley de Amparo, y se refiere a las sentencias definitivas dictadas por tribunales judiciales o administrativos, o contra laudos dictados por las autoridades laborales por violaciones a los procedimientos legales. </w:t>
      </w:r>
    </w:p>
    <w:p w:rsidR="002D13FA" w:rsidRDefault="002D13FA" w:rsidP="002D13FA">
      <w:pPr>
        <w:spacing w:before="240"/>
        <w:ind w:left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Mientras que el amparo indirecto, encuentra su fundamento jurídico en los artículos 107 constitucional, y 114 y 115 de la Ley de Amparo</w:t>
      </w:r>
      <w:r w:rsidR="00C231A1">
        <w:rPr>
          <w:rFonts w:ascii="Cambria" w:hAnsi="Cambria"/>
          <w:sz w:val="24"/>
          <w:szCs w:val="24"/>
        </w:rPr>
        <w:t xml:space="preserve">; y procede contra actos reclamados, que no sean sentencias definitivas o laudos, sea que la violación se ha cometido en el procedimiento o en la sentencia de la misma. </w:t>
      </w:r>
    </w:p>
    <w:p w:rsidR="00461006" w:rsidRPr="00461006" w:rsidRDefault="00C231A1" w:rsidP="00461006">
      <w:pPr>
        <w:spacing w:before="240"/>
        <w:ind w:left="284"/>
        <w:jc w:val="both"/>
      </w:pPr>
      <w:r>
        <w:rPr>
          <w:rFonts w:ascii="Cambria" w:hAnsi="Cambria"/>
          <w:sz w:val="24"/>
          <w:szCs w:val="24"/>
        </w:rPr>
        <w:t xml:space="preserve">El amparo por privación ilegal de la libertad es el más común en nuestro sistema jurídico. Para detener a una persona, la autoridad indicada es el juez penal, que ha girado la orden de aprehensión, y pedido a la Policía Judicial que ésta se cumpla. Para ello, se requiere que exista previamente una denuncia, y que el Ministerio Público haya actuado conforme a Derecho para realizar su investigación. Por otra parte, se puede detener a las personas sin orden de aprehensión judicial, solamente, cuando sean sorprendidas cometiendo el delito, en el acto mismo. En caso de que la autoridad viole estos casos y la persona sea detenida indebidamente e ilegalmente, dicha autoridad está cometiendo un delito, llamado Privación Ilegal de la Libertad, para lo cual procede de inmediato, promover un amparo contra dicho acto injusto de la autoridad. </w:t>
      </w:r>
    </w:p>
    <w:p w:rsidR="00461006" w:rsidRDefault="00461006" w:rsidP="00461006">
      <w:pPr>
        <w:spacing w:line="240" w:lineRule="auto"/>
        <w:ind w:right="141"/>
        <w:jc w:val="both"/>
        <w:rPr>
          <w:rFonts w:ascii="Cambria" w:hAnsi="Cambria"/>
          <w:sz w:val="20"/>
          <w:szCs w:val="20"/>
        </w:rPr>
      </w:pPr>
    </w:p>
    <w:p w:rsidR="00461006" w:rsidRDefault="00461006" w:rsidP="00461006">
      <w:pPr>
        <w:spacing w:line="240" w:lineRule="auto"/>
        <w:ind w:left="284" w:right="141"/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5D767A" w:rsidRPr="00461006" w:rsidRDefault="00461006" w:rsidP="00A15554">
      <w:pPr>
        <w:spacing w:line="240" w:lineRule="auto"/>
        <w:ind w:right="141"/>
        <w:jc w:val="right"/>
        <w:rPr>
          <w:rFonts w:ascii="Cambria" w:hAnsi="Cambria"/>
          <w:sz w:val="20"/>
          <w:szCs w:val="20"/>
        </w:rPr>
      </w:pPr>
      <w:r w:rsidRPr="00461006">
        <w:rPr>
          <w:rFonts w:ascii="Cambria" w:hAnsi="Cambria"/>
          <w:sz w:val="20"/>
          <w:szCs w:val="20"/>
        </w:rPr>
        <w:t xml:space="preserve">Bibliografía: </w:t>
      </w:r>
      <w:r w:rsidR="00010779" w:rsidRPr="00461006">
        <w:rPr>
          <w:rFonts w:ascii="Cambria" w:hAnsi="Cambria"/>
          <w:sz w:val="20"/>
          <w:szCs w:val="20"/>
        </w:rPr>
        <w:t xml:space="preserve">Ortiz, M. A. (2006). </w:t>
      </w:r>
      <w:r w:rsidR="00010779" w:rsidRPr="00461006">
        <w:rPr>
          <w:rFonts w:ascii="Cambria" w:hAnsi="Cambria"/>
          <w:i/>
          <w:iCs/>
          <w:sz w:val="20"/>
          <w:szCs w:val="20"/>
        </w:rPr>
        <w:t>Acercamiento al Derecho</w:t>
      </w:r>
      <w:r w:rsidR="00010779" w:rsidRPr="00461006">
        <w:rPr>
          <w:rFonts w:ascii="Cambria" w:hAnsi="Cambria"/>
          <w:sz w:val="20"/>
          <w:szCs w:val="20"/>
        </w:rPr>
        <w:t>. México: Grupo Patria Cultural.</w:t>
      </w:r>
    </w:p>
    <w:p w:rsidR="00CB7402" w:rsidRPr="00CB7402" w:rsidRDefault="00461006" w:rsidP="00461006">
      <w:pPr>
        <w:spacing w:after="0" w:line="240" w:lineRule="auto"/>
        <w:ind w:left="284" w:right="141"/>
        <w:rPr>
          <w:rFonts w:ascii="Cambria" w:hAnsi="Cambria"/>
          <w:sz w:val="12"/>
          <w:szCs w:val="24"/>
        </w:rPr>
      </w:pPr>
      <w:r>
        <w:rPr>
          <w:rFonts w:ascii="Cambria" w:hAnsi="Cambria"/>
          <w:sz w:val="12"/>
          <w:szCs w:val="24"/>
        </w:rPr>
        <w:t xml:space="preserve">     </w:t>
      </w:r>
    </w:p>
    <w:sectPr w:rsidR="00CB7402" w:rsidRPr="00CB7402" w:rsidSect="00461006">
      <w:headerReference w:type="default" r:id="rId10"/>
      <w:pgSz w:w="12240" w:h="15840"/>
      <w:pgMar w:top="0" w:right="1183" w:bottom="567" w:left="993" w:header="708" w:footer="708" w:gutter="0"/>
      <w:pgBorders w:offsetFrom="page">
        <w:top w:val="double" w:sz="12" w:space="24" w:color="557619" w:themeColor="accent5" w:themeShade="80"/>
        <w:left w:val="double" w:sz="12" w:space="24" w:color="557619" w:themeColor="accent5" w:themeShade="80"/>
        <w:bottom w:val="double" w:sz="12" w:space="24" w:color="557619" w:themeColor="accent5" w:themeShade="80"/>
        <w:right w:val="double" w:sz="12" w:space="24" w:color="55761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209" w:rsidRDefault="00A22209" w:rsidP="00DA1E55">
      <w:pPr>
        <w:spacing w:after="0" w:line="240" w:lineRule="auto"/>
      </w:pPr>
      <w:r>
        <w:separator/>
      </w:r>
    </w:p>
  </w:endnote>
  <w:endnote w:type="continuationSeparator" w:id="0">
    <w:p w:rsidR="00A22209" w:rsidRDefault="00A22209" w:rsidP="00DA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209" w:rsidRDefault="00A22209" w:rsidP="00DA1E55">
      <w:pPr>
        <w:spacing w:after="0" w:line="240" w:lineRule="auto"/>
      </w:pPr>
      <w:r>
        <w:separator/>
      </w:r>
    </w:p>
  </w:footnote>
  <w:footnote w:type="continuationSeparator" w:id="0">
    <w:p w:rsidR="00A22209" w:rsidRDefault="00A22209" w:rsidP="00DA1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55" w:rsidRPr="00DA1E55" w:rsidRDefault="00DA1E55" w:rsidP="00DA1E55">
    <w:pPr>
      <w:pStyle w:val="Encabezado"/>
      <w:ind w:left="-709" w:firstLine="709"/>
      <w:rPr>
        <w:rFonts w:ascii="Franklin Gothic Demi" w:hAnsi="Franklin Gothic Demi"/>
      </w:rPr>
    </w:pPr>
    <w:r>
      <w:rPr>
        <w:rFonts w:ascii="Franklin Gothic Demi" w:hAnsi="Franklin Gothic Demi"/>
        <w:sz w:val="40"/>
      </w:rPr>
      <w:t xml:space="preserve">   </w:t>
    </w:r>
  </w:p>
  <w:p w:rsidR="00DA1E55" w:rsidRDefault="00DA1E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35D"/>
    <w:multiLevelType w:val="hybridMultilevel"/>
    <w:tmpl w:val="415E049E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8491198"/>
    <w:multiLevelType w:val="hybridMultilevel"/>
    <w:tmpl w:val="540845F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7B0404"/>
    <w:multiLevelType w:val="hybridMultilevel"/>
    <w:tmpl w:val="7DB4E372"/>
    <w:lvl w:ilvl="0" w:tplc="0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2CA05C8"/>
    <w:multiLevelType w:val="hybridMultilevel"/>
    <w:tmpl w:val="D5DCF008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EA6237"/>
    <w:multiLevelType w:val="hybridMultilevel"/>
    <w:tmpl w:val="CE1EDC7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E513E8D"/>
    <w:multiLevelType w:val="hybridMultilevel"/>
    <w:tmpl w:val="E2CC401A"/>
    <w:lvl w:ilvl="0" w:tplc="0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B7023B"/>
    <w:multiLevelType w:val="hybridMultilevel"/>
    <w:tmpl w:val="A08CA53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791622E"/>
    <w:multiLevelType w:val="hybridMultilevel"/>
    <w:tmpl w:val="980465EC"/>
    <w:lvl w:ilvl="0" w:tplc="0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4FC3D80"/>
    <w:multiLevelType w:val="hybridMultilevel"/>
    <w:tmpl w:val="17624A4E"/>
    <w:lvl w:ilvl="0" w:tplc="0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50D2A55"/>
    <w:multiLevelType w:val="hybridMultilevel"/>
    <w:tmpl w:val="92EAAF00"/>
    <w:lvl w:ilvl="0" w:tplc="1144C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A6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00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8C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C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E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9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E4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C8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85D7972"/>
    <w:multiLevelType w:val="hybridMultilevel"/>
    <w:tmpl w:val="A8401E2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55"/>
    <w:rsid w:val="00010779"/>
    <w:rsid w:val="00037B71"/>
    <w:rsid w:val="000F397A"/>
    <w:rsid w:val="00157416"/>
    <w:rsid w:val="00174569"/>
    <w:rsid w:val="002D13FA"/>
    <w:rsid w:val="00461006"/>
    <w:rsid w:val="00472462"/>
    <w:rsid w:val="00505D9F"/>
    <w:rsid w:val="00560433"/>
    <w:rsid w:val="005801ED"/>
    <w:rsid w:val="005A3705"/>
    <w:rsid w:val="005D767A"/>
    <w:rsid w:val="005F6A67"/>
    <w:rsid w:val="00646AEA"/>
    <w:rsid w:val="00701D15"/>
    <w:rsid w:val="00821CD1"/>
    <w:rsid w:val="00903397"/>
    <w:rsid w:val="00916701"/>
    <w:rsid w:val="009B6185"/>
    <w:rsid w:val="00A0104C"/>
    <w:rsid w:val="00A15554"/>
    <w:rsid w:val="00A22209"/>
    <w:rsid w:val="00C231A1"/>
    <w:rsid w:val="00C344AC"/>
    <w:rsid w:val="00C56D73"/>
    <w:rsid w:val="00CB7402"/>
    <w:rsid w:val="00CF63F9"/>
    <w:rsid w:val="00D601E4"/>
    <w:rsid w:val="00DA1E55"/>
    <w:rsid w:val="00E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E55"/>
  </w:style>
  <w:style w:type="paragraph" w:styleId="Piedepgina">
    <w:name w:val="footer"/>
    <w:basedOn w:val="Normal"/>
    <w:link w:val="PiedepginaCar"/>
    <w:uiPriority w:val="99"/>
    <w:unhideWhenUsed/>
    <w:rsid w:val="00DA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E55"/>
  </w:style>
  <w:style w:type="paragraph" w:customStyle="1" w:styleId="3CBD5A742C28424DA5172AD252E32316">
    <w:name w:val="3CBD5A742C28424DA5172AD252E32316"/>
    <w:rsid w:val="00DA1E55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DA1E55"/>
    <w:pPr>
      <w:pBdr>
        <w:bottom w:val="single" w:sz="8" w:space="4" w:color="76C5E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1E55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A1E55"/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21C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F39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397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397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D767A"/>
    <w:rPr>
      <w:color w:val="7AB6E8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E55"/>
  </w:style>
  <w:style w:type="paragraph" w:styleId="Piedepgina">
    <w:name w:val="footer"/>
    <w:basedOn w:val="Normal"/>
    <w:link w:val="PiedepginaCar"/>
    <w:uiPriority w:val="99"/>
    <w:unhideWhenUsed/>
    <w:rsid w:val="00DA1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E55"/>
  </w:style>
  <w:style w:type="paragraph" w:customStyle="1" w:styleId="3CBD5A742C28424DA5172AD252E32316">
    <w:name w:val="3CBD5A742C28424DA5172AD252E32316"/>
    <w:rsid w:val="00DA1E55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DA1E55"/>
    <w:pPr>
      <w:pBdr>
        <w:bottom w:val="single" w:sz="8" w:space="4" w:color="76C5E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1E55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A1E55"/>
    <w:rPr>
      <w:rFonts w:asciiTheme="majorHAnsi" w:eastAsiaTheme="majorEastAsia" w:hAnsiTheme="majorHAnsi" w:cstheme="majorBidi"/>
      <w:b/>
      <w:bCs/>
      <w:color w:val="25A2E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21C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F397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397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397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D767A"/>
    <w:rPr>
      <w:color w:val="7AB6E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S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BD0E6C-D49B-4D62-AD1D-64C481A9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2 – La Ley</vt:lpstr>
    </vt:vector>
  </TitlesOfParts>
  <Company>Microsoft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2 – La Ley</dc:title>
  <dc:creator>Samanta Cabañas</dc:creator>
  <cp:lastModifiedBy>Samanta Cabañas</cp:lastModifiedBy>
  <cp:revision>7</cp:revision>
  <dcterms:created xsi:type="dcterms:W3CDTF">2017-12-18T23:42:00Z</dcterms:created>
  <dcterms:modified xsi:type="dcterms:W3CDTF">2018-01-04T07:20:00Z</dcterms:modified>
</cp:coreProperties>
</file>