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0C" w:rsidRPr="00DD4E89" w:rsidRDefault="0011240C" w:rsidP="0011240C">
      <w:pPr>
        <w:jc w:val="both"/>
        <w:rPr>
          <w:rFonts w:ascii="Corbel" w:hAnsi="Corbel"/>
          <w:b/>
        </w:rPr>
      </w:pPr>
      <w:r w:rsidRPr="00DD4E89">
        <w:rPr>
          <w:rFonts w:ascii="Corbel" w:hAnsi="Corbel"/>
          <w:b/>
        </w:rPr>
        <w:t>Unidad III. MOVIMIENTOS SOCIALES</w:t>
      </w:r>
    </w:p>
    <w:p w:rsidR="0011240C" w:rsidRPr="00DD4E89" w:rsidRDefault="0011240C" w:rsidP="0011240C">
      <w:pPr>
        <w:pStyle w:val="NormalWeb"/>
        <w:shd w:val="clear" w:color="auto" w:fill="FFFFFF"/>
        <w:jc w:val="both"/>
        <w:rPr>
          <w:rFonts w:ascii="Corbel" w:hAnsi="Corbel" w:cs="Arial"/>
          <w:b/>
          <w:color w:val="222222"/>
          <w:sz w:val="22"/>
          <w:szCs w:val="22"/>
        </w:rPr>
      </w:pPr>
      <w:r w:rsidRPr="00DD4E89">
        <w:rPr>
          <w:rStyle w:val="Textoennegrita"/>
          <w:rFonts w:ascii="Corbel" w:hAnsi="Corbel" w:cs="Arial"/>
          <w:b w:val="0"/>
          <w:color w:val="222222"/>
          <w:sz w:val="22"/>
          <w:szCs w:val="22"/>
        </w:rPr>
        <w:t>3.1   </w:t>
      </w:r>
      <w:r w:rsidRPr="00DD4E89">
        <w:rPr>
          <w:rFonts w:ascii="Corbel" w:hAnsi="Corbel" w:cs="Arial"/>
          <w:b/>
          <w:color w:val="222222"/>
          <w:sz w:val="22"/>
          <w:szCs w:val="22"/>
        </w:rPr>
        <w:t>Conceptos generales de los movimientos Sociales.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movimientos sociales consisten en formas de organización que pretenden alcanzar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determinados objetivos comunes. Para conseguir estos, los integrantes de los movimientos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sociales utilizan diversos medios encaminados a realizar una labor de carácter proselitista.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Se puede identificar partiendo de la representatividad que tiene de ciertos grupos sociales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las reivindicaciones afines a los intereses de estos grupos que plantea.</w:t>
      </w:r>
    </w:p>
    <w:p w:rsidR="0011240C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Son un tipo específico de grupos de acción concertada; tienen una duración mayor y están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más integradas que las turbas, las masas y las multitudes, pero menos organizadas que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partidos políticos y otras asociaciones.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17222A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801A404" wp14:editId="61FDE5A6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3348739" cy="2467788"/>
            <wp:effectExtent l="0" t="0" r="4445" b="8890"/>
            <wp:wrapThrough wrapText="bothSides">
              <wp:wrapPolygon edited="0">
                <wp:start x="0" y="0"/>
                <wp:lineTo x="0" y="21511"/>
                <wp:lineTo x="21506" y="21511"/>
                <wp:lineTo x="21506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39" cy="246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29E7">
        <w:rPr>
          <w:rFonts w:ascii="Corbel" w:eastAsia="TimesNewRomanPSMT" w:hAnsi="Corbel" w:cs="TimesNewRomanPSMT"/>
        </w:rPr>
        <w:t>El término fue introducido al vocabulario académico por Lorenz von Stein en 1846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"Historia de los Movimientos Sociales Franceses desde 1789 hasta el Presente”. Stein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entiende un Movimiento Social como, una aspiración de sectores sociales (clases) de lograr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influencia sobre el Estado, debido a las desigualdades en la economía. Así por ejemplo,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aspiración del proletariado a lograr su representación en los sistemas de gobierno.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En estas investigaciones hay aportaciones de la psicología de masas realizadas en Francia e Italia. Sin embargo,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estudio de las causas que provocaron el conflicto y la crisis del sistema de participación democrática y la subida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al poder de los movimientos fascista y comunista de los años treinta, es la causa que provoca un redescubrimiento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del fenómeno de los movimientos sociales como disciplina sociológica central. Del mismo modo, y a raíz de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experiencia mundial de los movimientos totalitarios, los movimientos sociales fueron conceptualizados como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un fenómeno potencialmente peligroso de conducta colectiva política en las democracias occidentales.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movimientos sociales han sido estudiados partiendo de tres caminos diferentes: como una parte descriptiva de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historia de las ideas, como una parte de la movilización política en los sistemas totalitarios, o bien centrándose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el movimiento obrero.</w:t>
      </w:r>
    </w:p>
    <w:p w:rsidR="0011240C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 mediados del siglo XX, en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marco de la Guerra Fría se dan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diferentes movimientos sociales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como el movimiento estudiantil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1968, la Revolución socialista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Cuba (1959) que va a repercutir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América Latina así como diferentes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movimientos de liberación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femenina, de los homosexuales,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ecologista, obrero, pacifista 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antimilitarista, o, más reciente en su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surgimiento, el movimiento okupa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y el movimiento antiglobalización.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El empleo de términos como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“liberación”, para describir algunos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movimientos sociales, indica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el origen de muchos de ellos; 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saber, es el sentimiento de saberse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restringidos y el vigoroso deseo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una libertad personal y colectiva.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Son dos las condiciones que originan los movimientos sociales: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• El sentimiento compartido de frustración y descontento.</w:t>
      </w:r>
    </w:p>
    <w:p w:rsidR="0011240C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• La creencia de que la acción colectiva acabará fomentando o resistiendo al cambio.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17222A">
        <w:rPr>
          <w:rFonts w:ascii="Corbel" w:eastAsia="TimesNewRomanPSMT" w:hAnsi="Corbel" w:cs="Times New Roman"/>
          <w:i/>
          <w:iCs/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645FF3FC" wp14:editId="501FECDA">
            <wp:simplePos x="0" y="0"/>
            <wp:positionH relativeFrom="column">
              <wp:posOffset>2515</wp:posOffset>
            </wp:positionH>
            <wp:positionV relativeFrom="paragraph">
              <wp:posOffset>-5967755</wp:posOffset>
            </wp:positionV>
            <wp:extent cx="4226479" cy="3436570"/>
            <wp:effectExtent l="0" t="0" r="3175" b="0"/>
            <wp:wrapThrough wrapText="bothSides">
              <wp:wrapPolygon edited="0">
                <wp:start x="0" y="0"/>
                <wp:lineTo x="0" y="21436"/>
                <wp:lineTo x="21519" y="21436"/>
                <wp:lineTo x="21519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79" cy="34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Así, la conciencia del grupo es fundamental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para la gestación de un movimiento social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puede iniciarse en los centros de trabajo,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regiones, colonias, barrios, etc., donde sus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integrantes intercambian opiniones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pueden conducir a huelgas, agitaciones,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invasiones de tierra, manifestaciones, 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salidas relativamente pacíficas dentro de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marcos políticos institucionales como, por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ejemplo, la organización de elecciones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democráticas, claras y transparentes.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La importancia de los movimientos sociales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radica en que, merced a su capacidad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presionar a las élites en el poder, y al papel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desempeñan en su calidad de agentes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socializadores, tienen la posibilidad de incidir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en el cambio de las estructuras.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</w:rPr>
      </w:pPr>
      <w:r w:rsidRPr="008C29E7">
        <w:rPr>
          <w:rFonts w:ascii="Corbel" w:eastAsia="TimesNewRomanPSMT" w:hAnsi="Corbel" w:cs="Times New Roman"/>
          <w:b/>
          <w:bCs/>
        </w:rPr>
        <w:t>Movimientos sociales que originan el cambio.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movimientos sociales se remontan a las épocas de la lucha de derechos humanos con la revolución industrial,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los obreros llegaron a pensar en que serían sustituidos por las máquinas, lo cual generó movimientos en regiones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europeas y americanas como el cartismo o el ludismo.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Una etapa posterior es la aparición del marxismo, en donde ya se entiende mejor lo que es un movimiento social,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una revolución o una huelga, en la cual se lucha por los derechos humanos y de los trabajadores.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Anteriormente a las huelgas antes preescritas se tenían en cuenta factores distintos para preservar el trabajo;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actualmente y desde la época del capitalismo y del marxismo se lucha por la libertad y la igualdad y sobre todo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cumplimiento legal de las leyes, que son lo principal para que una sociedad sea justa.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Uno de los movimientos más comentados es el movimiento encabezado por el excandidato a la presidencia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México Andrés Manuel López Obrador, siendo el objetivo de este movimiento hacer cumplir los derechos del voto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y otros como las reformas agrarias e implantar nuevas leyes que beneficien y acrediten la libertad de expresión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pensamiento, ya que nuestro país sigue siendo conservador.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Siendo el principal problema del movimiento el rechazo a reconocer a López Obrador como presidente legítimo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México.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Desde la época del capitalismo y el marxismo, se ha luchado por la igualdad y el hacer cumplir las leyes para tener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una sociedad más equitativa, tratando de vivir en armonía.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color w:val="FF6C2C"/>
        </w:rPr>
      </w:pPr>
      <w:r w:rsidRPr="008C29E7">
        <w:rPr>
          <w:rFonts w:ascii="Corbel" w:hAnsi="Corbel" w:cs="Times New Roman"/>
          <w:b/>
          <w:bCs/>
          <w:color w:val="FF6C2C"/>
        </w:rPr>
        <w:t>Principales enfoques para el estudio de los movimientos sociales y el cambio social.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El estudio de los movimientos sociales ha generado una variedad de enfoques que han tratado de comprender y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explicar sus formas y sus razones, caracterizándolos como una investigación social, pensándolos como la forma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 xml:space="preserve">consagrada de articular las relaciones políticas entre la sociedad y al </w:t>
      </w:r>
      <w:r w:rsidRPr="008C29E7">
        <w:rPr>
          <w:rFonts w:ascii="Corbel" w:eastAsia="TimesNewRomanPSMT" w:hAnsi="Corbel" w:cs="TimesNewRomanPSMT"/>
          <w:color w:val="000000"/>
        </w:rPr>
        <w:lastRenderedPageBreak/>
        <w:t>Estado. Desde los planteamientos de los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clásicos de la sociología, como Weber y Durkheim, hasta el decretando el fin de la era de los partidos políticos y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el inicio de una nueva, con los movimientos a la cabeza.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A lo largo de casi un siglo, las teorías de los MS has acumulado propuestas de análisis y definiciones que, en un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primer momento, podrían ser clasificadas en dos grandes grupos: el enfoque marxista y el funcionalista. Estos dos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enfoques van a ser superados por los MS de los años sesenta, pues no logran explicarlos suficientemente.</w:t>
      </w:r>
    </w:p>
    <w:p w:rsidR="0011240C" w:rsidRPr="008C29E7" w:rsidRDefault="0011240C" w:rsidP="0011240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8C29E7">
        <w:rPr>
          <w:rFonts w:ascii="Corbel" w:eastAsia="TimesNewRomanPSMT" w:hAnsi="Corbel" w:cs="TimesNewRomanPSMT"/>
          <w:color w:val="000000"/>
        </w:rPr>
        <w:t>El enfoque de la movilización de recursos respondió a los nuevos problemas, enfatizando el análisis microestructural,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la estructura de las oportunidades políticas, los repertorios de acción y los ciclos de protesta.</w:t>
      </w:r>
    </w:p>
    <w:p w:rsidR="0017222A" w:rsidRPr="0011240C" w:rsidRDefault="0017222A" w:rsidP="0011240C">
      <w:bookmarkStart w:id="0" w:name="_GoBack"/>
      <w:bookmarkEnd w:id="0"/>
    </w:p>
    <w:sectPr w:rsidR="0017222A" w:rsidRPr="00112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94076"/>
    <w:rsid w:val="0011240C"/>
    <w:rsid w:val="0017222A"/>
    <w:rsid w:val="002F253C"/>
    <w:rsid w:val="00387B9B"/>
    <w:rsid w:val="003E5E38"/>
    <w:rsid w:val="005E01CB"/>
    <w:rsid w:val="006B385C"/>
    <w:rsid w:val="00776B5B"/>
    <w:rsid w:val="007E06CA"/>
    <w:rsid w:val="007E5EEE"/>
    <w:rsid w:val="008C29E7"/>
    <w:rsid w:val="00926709"/>
    <w:rsid w:val="009A6831"/>
    <w:rsid w:val="00A1542F"/>
    <w:rsid w:val="00AA22D9"/>
    <w:rsid w:val="00D71767"/>
    <w:rsid w:val="00DA5A0F"/>
    <w:rsid w:val="00DD4E89"/>
    <w:rsid w:val="00E028D7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13</cp:revision>
  <dcterms:created xsi:type="dcterms:W3CDTF">2018-04-23T16:22:00Z</dcterms:created>
  <dcterms:modified xsi:type="dcterms:W3CDTF">2018-05-09T15:16:00Z</dcterms:modified>
</cp:coreProperties>
</file>