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4C5C"/>
          <w:sz w:val="22"/>
          <w:szCs w:val="22"/>
        </w:rPr>
        <w:t xml:space="preserve">RAZORPAY AI BUILDATHON 2026 — STANDALONE FEATURE REPORT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Track: AI Revenue Recovery — independent microservice</w:t>
      </w:r>
    </w:p>
    <w:p>
      <w:pPr>
        <w:spacing w:after="120"/>
      </w:pPr>
      <w:r>
        <w:rPr>
          <w:b/>
          <w:bCs/>
          <w:sz w:val="32"/>
          <w:szCs w:val="32"/>
        </w:rPr>
        <w:t xml:space="preserve">Chargeback &amp; Friendly-Fraud Pre-emption Service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An LLM evidence-drafting pipeline that turns a losing dispute into a winnable one</w:t>
      </w:r>
    </w:p>
    <w:p>
      <w:pPr>
        <w:pStyle w:val="Heading1"/>
        <w:spacing w:after="190" w:before="380"/>
      </w:pPr>
      <w:r>
        <w:t xml:space="preserve">1. The Issue — What's Actually Broken</w:t>
      </w:r>
    </w:p>
    <w:p>
      <w:pPr>
        <w:spacing w:after="150"/>
      </w:pPr>
      <w:r>
        <w:t xml:space="preserve">Merchants win only 20–30% of chargeback disputes on average — not because most disputes are unwinnable, but because most merchants don't know what evidence a given reason code actually requires, and submit the wrong document type or generic proof instead. This is stated directly by Razorpay's own documentation: submitting the wrong document type is the leading cause of preventable dispute losses. Separately, friendly fraud — a cardholder disputing a transaction they actually made, rather than genuine unauthorized use — now drives roughly 75% of "unauthorized transaction" disputes, and 40–50% of people who do this once repeat the behavior within 60 days. This isn't a rare edge case; it's the dominant pattern behind chargebacks today.</w:t>
      </w:r>
    </w:p>
    <w:p>
      <w:pPr>
        <w:spacing w:after="150"/>
      </w:pPr>
      <w:r>
        <w:t xml:space="preserve">The scale problem compounds this: global chargeback volume is projected to reach 337 million disputes in 2026, a 42% increase from 2023. At that volume, manual evidence-gathering (checking each reason code, pulling the right proof, formatting it correctly, meeting the deadline) becomes structurally impossible to do well by hand — a single merchant processing 500 disputes a month is facing a new one roughly every 3.5 business hours.</w:t>
      </w:r>
    </w:p>
    <w:p>
      <w:pPr>
        <w:pStyle w:val="Heading1"/>
        <w:spacing w:after="190" w:before="380"/>
      </w:pPr>
      <w:r>
        <w:t xml:space="preserve">2. Why This Matters — The Numbers That Justify Building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Right evidence lifts win rate from 20-30% to 65-90%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isn't a marginal improvement — it's roughly a 3x swing, and it's driven entirely by evidence quality/matching, not by the strength of the underlying case. Confirmed independently by a merchant case study going from an 18% win rate to 74% after switching to reason-code-matched evidence.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Visa Compelling Evidence 3.0 adds another +20% win rate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specific, current card-network evidence standard exists and rewards structured proof (delivery confirmation, IP/device data, authorization trail) — this is a concrete rulebook the service can be built against, similar to the RBI rulebook used in the Compliance Scanner feature.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Response windows have tightened in 2026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Q1 2026, Visa/Mastercard cut Indian acquirer response windows to 10-14 calendar days, and RuPay disputes now require a merchant response within 7 working days under NPCI's revised timeline. Speed is now a hard constraint, not just a nice-to-have — this favors an automated drafting pipeline over a manual one.</w:t>
            </w:r>
          </w:p>
        </w:tc>
      </w:tr>
    </w:tbl>
    <w:p>
      <w:pPr>
        <w:pStyle w:val="Heading1"/>
        <w:spacing w:after="190" w:before="380"/>
      </w:pPr>
      <w:r>
        <w:t xml:space="preserve">3. Important Context — What Razorpay Already Does</w:t>
      </w:r>
    </w:p>
    <w:p>
      <w:pPr>
        <w:shd w:fill="FFF6E5" w:val="clear"/>
        <w:spacing w:after="200"/>
      </w:pPr>
      <w:r>
        <w:rPr>
          <w:b/>
          <w:bCs/>
          <w:color w:val="8A5A00"/>
          <w:sz w:val="19"/>
          <w:szCs w:val="19"/>
        </w:rPr>
        <w:t xml:space="preserve">HONEST CHECK:  </w:t>
      </w:r>
      <w:r>
        <w:rPr>
          <w:color w:val="8A5A00"/>
          <w:sz w:val="19"/>
          <w:szCs w:val="19"/>
        </w:rPr>
        <w:t xml:space="preserve">Razorpay's own international payment gateway already offers a dispute workflow: evidence review before submission, representment to the acquiring bank, and debit reversal within up to 30 days if the merchant wins. This is real and already exists — this feature must be pitched as an improvement layer, not a replacement.</w:t>
      </w:r>
    </w:p>
    <w:p>
      <w:pPr>
        <w:spacing w:after="150"/>
      </w:pPr>
      <w:r>
        <w:t xml:space="preserve">What Razorpay's existing flow does not appear to automate, based on its public documentation, is the evidence-compilation step itself — matching a specific reason code to the specific evidence type that reason code requires, and drafting the actual representment narrative. That gap is exactly what industry-wide chargeback-automation platforms (Chargeflow and similar) target, and it's the gap this feature should target too: not built to replace Razorpay's submission/representment pipeline, but to feed it a correctly-matched, well-drafted evidence pack instead of a generic one.</w:t>
      </w:r>
    </w:p>
    <w:p>
      <w:pPr>
        <w:pStyle w:val="Heading1"/>
        <w:spacing w:after="190" w:before="380"/>
      </w:pPr>
      <w:r>
        <w:t xml:space="preserve">4. Why LLM Is the Right Fit (Not Classical ML)</w:t>
      </w:r>
    </w:p>
    <w:p>
      <w:pPr>
        <w:spacing w:after="150"/>
      </w:pPr>
      <w:r>
        <w:t xml:space="preserve">Drafting a representment narrative that responds directly to a specific reason code, using the specific evidence available for that transaction, is a text-generation and reasoning task — not a classification or prediction task. There's no dataset of "winning vs losing dispute narratives" a merchant could ethically or practically train on, and the actual skill needed (read the reason code, read what evidence exists, write a response that addresses the code's exact requirement) is squarely an LLM strength, matching how real "agentic" dispute-resolution services in this space are already being described in 2026 industry reporting — reason-code identification paired with automated representment-pack drafting.</w:t>
      </w:r>
    </w:p>
    <w:p>
      <w:pPr>
        <w:pStyle w:val="Heading1"/>
        <w:spacing w:after="190" w:before="380"/>
      </w:pPr>
      <w:r>
        <w:t xml:space="preserve">5. The Fix — System Design</w:t>
      </w:r>
    </w:p>
    <w:p>
      <w:pPr>
        <w:pStyle w:val="Heading2"/>
        <w:spacing w:after="130" w:before="260"/>
      </w:pPr>
      <w:r>
        <w:t xml:space="preserve">5.1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/ purpose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reason_code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Visa 10.4 ("Fraudulent"), Mastercard 4853 ("Product Not as Described") — determines which evidence category is required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available_evidence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 records, delivery confirmation, IP/device logs, prior customer communication, digital receipt/signature data — whatever the merchant already has on file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dispute_deadline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 to flag urgency given the tightened 2026 response windows (10-14 days card, 7 working days RuPay)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transaction_history_for_customer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 to flag likely friendly-fraud repeat behavior (40-50% of friendly fraudsters repeat within 60 days)</w:t>
            </w:r>
          </w:p>
        </w:tc>
      </w:tr>
    </w:tbl>
    <w:p>
      <w:pPr>
        <w:pStyle w:val="Heading2"/>
        <w:spacing w:after="130" w:before="260"/>
      </w:pPr>
      <w:r>
        <w:t xml:space="preserve">5.2 The rulebook (reason code → required evidence type)</w:t>
      </w:r>
    </w:p>
    <w:p>
      <w:pPr>
        <w:spacing w:after="150"/>
      </w:pPr>
      <w:r>
        <w:t xml:space="preserve">Written once, from card-network public documentation (Visa/Mastercard/Amex merchant portals list this explicitly), the same grounding approach used in the Compliance Scanner feature — the LLM is given the mapping rather than expected to know it reliably from training data alone.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REASON_CODE_EVIDENCE_MAP = {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"visa_10.4_fraudulent": ["AVS/CVV match proof", "device/IP fingerprint",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"prior successful transaction history", "3DS authentication log"],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"mc_4853_not_as_described": ["product listing/description at time of sale",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    "delivery confirmation", "customer communication log"],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"service_not_rendered": ["proof of service delivery/access", "usage logs",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"account activity after purchase date"],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...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30" w:before="260"/>
      </w:pPr>
      <w:r>
        <w:t xml:space="preserve">5.3 Output (contract)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"reason_code": "visa_10.4_fraudulent",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"evidence_completeness": "complete" | "partial" | "insufficient",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"missing_evidence": [ "..." ],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"drafted_representment_narrative": "...",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"friendly_fraud_flag": true | false,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"friendly_fraud_confidence": 0.0-1.0,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"recommended_action": "submit_now" | "request_more_evidence_first" | "do_not_contest",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"deadline": "..."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1"/>
        <w:spacing w:after="190" w:before="380"/>
      </w:pPr>
      <w:r>
        <w:t xml:space="preserve">6. Edge Cases to Design For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Don't draft a narrative for evidence that doesn't exist:</w:t>
      </w:r>
      <w:r>
        <w:t xml:space="preserve"> If available_evidence doesn't cover what the reason code requires, the output must say so explicitly (evidence_completeness: insufficient) rather than drafting a weak narrative anyway — a rejected weak submission can be worse than a well-flagged gap, since it uses up the response window.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Never let the LLM invent evidence:</w:t>
      </w:r>
      <w:r>
        <w:t xml:space="preserve"> The narrative must be grounded in the actual submitted evidence, never invented facts about the transaction — this is a hard constraint for the prompt design, since a fabricated claim in a representment submission is a serious problem, not a minor error.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Deadline awareness must be explicit, not buried:</w:t>
      </w:r>
      <w:r>
        <w:t xml:space="preserve"> Given the tightened 2026 windows, the output must surface urgency clearly (e.g. days remaining) so a merchant doesn't miss the 7-working-day RuPay deadline specifically, which is the tightest of the three.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Repeat friendly-fraud customers need separate handling:</w:t>
      </w:r>
      <w:r>
        <w:t xml:space="preserve"> For a customer with two or more prior friendly-fraud disputes, flag it for the merchant even if this specific dispute is contested normally — this is separate from the win/lose decision on the current case, and feeds a merchant's own future risk decisions (e.g. whether to keep serving that customer).</w:t>
      </w:r>
    </w:p>
    <w:p>
      <w:pPr>
        <w:pStyle w:val="Heading1"/>
        <w:spacing w:after="190" w:before="380"/>
      </w:pPr>
      <w:r>
        <w:t xml:space="preserve">7. How to Validate This Is Actually Working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Test set:</w:t>
      </w:r>
      <w:r>
        <w:t xml:space="preserve"> Build ~15-20 synthetic disputes across 4-5 reason codes, with varying evidence completeness (some fully documented, some deliberately missing key evidence) — confirm the service correctly flags completeness and drafts an appropriately evidence-grounded narrative for each.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Narrative quality check:</w:t>
      </w:r>
      <w:r>
        <w:t xml:space="preserve"> For the fully-documented cases, confirm the drafted narrative explicitly addresses the reason code's stated requirement — this is a manual read-through check, not an automatic metric, since narrative quality is inherently qualitative.</w:t>
      </w:r>
    </w:p>
    <w:p>
      <w:pPr>
        <w:pStyle w:val="Heading1"/>
        <w:spacing w:after="190" w:before="380"/>
      </w:pPr>
      <w:r>
        <w:t xml:space="preserve">8. Why This Is Genuinely Independent</w:t>
      </w:r>
    </w:p>
    <w:p>
      <w:pPr>
        <w:spacing w:after="150"/>
      </w:pPr>
      <w:r>
        <w:t xml:space="preserve">This service takes a dispute (reason code + available evidence) and returns a structured recommendation and drafted narrative — it has no dependency on the root-cause classifier, the routing engine, or the governor. It could be built, demoed, and deployed entirely standalone, and slots naturally alongside Razorpay's existing dispute-submission workflow as a pre-processing improvement layer rather than a replacement for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2026-08-27T19:02:04.862Z</dcterms:created>
  <dcterms:modified xsi:type="dcterms:W3CDTF">2026-08-27T19:02:04.877Z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