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4C5C"/>
          <w:sz w:val="22"/>
          <w:szCs w:val="22"/>
        </w:rPr>
        <w:t xml:space="preserve">RAZORPAY AI BUILDATHON 2026 — FEATURE REPORT</w:t>
      </w:r>
    </w:p>
    <w:p>
      <w:pPr>
        <w:spacing w:after="300"/>
      </w:pPr>
      <w:r>
        <w:rPr>
          <w:color w:val="666666"/>
          <w:sz w:val="20"/>
          <w:szCs w:val="20"/>
        </w:rPr>
        <w:t xml:space="preserve">Track: AI Revenue Recovery — explicitly named in Razorpay's own example directions</w:t>
      </w:r>
    </w:p>
    <w:p>
      <w:pPr>
        <w:spacing w:after="120"/>
      </w:pPr>
      <w:r>
        <w:rPr>
          <w:b/>
          <w:bCs/>
          <w:sz w:val="32"/>
          <w:szCs w:val="32"/>
        </w:rPr>
        <w:t xml:space="preserve">Checkout Drop-Off Recovery (India-Specific)</w:t>
      </w:r>
    </w:p>
    <w:p>
      <w:pPr>
        <w:spacing w:after="300"/>
      </w:pPr>
      <w:r>
        <w:rPr>
          <w:i/>
          <w:iCs/>
          <w:color w:val="666666"/>
          <w:sz w:val="22"/>
          <w:szCs w:val="22"/>
        </w:rPr>
        <w:t xml:space="preserve">Diagnosing WHERE in the UPI redirect flow a customer actually gave up, not just sending a generic reminder</w:t>
      </w:r>
    </w:p>
    <w:p>
      <w:pPr>
        <w:shd w:fill="E9F5EC" w:val="clear"/>
        <w:spacing w:after="200"/>
      </w:pPr>
      <w:r>
        <w:rPr>
          <w:b/>
          <w:bCs/>
          <w:color w:val="1E6B3C"/>
          <w:sz w:val="19"/>
          <w:szCs w:val="19"/>
        </w:rPr>
        <w:t xml:space="preserve">HOW THIS DIFFERS FROM THE BNPL FEATURE:  </w:t>
      </w:r>
      <w:r>
        <w:rPr>
          <w:color w:val="1E6B3C"/>
          <w:sz w:val="19"/>
          <w:szCs w:val="19"/>
        </w:rPr>
        <w:t xml:space="preserve">The BNPL-on-decline feature fires only after a payment attempt is explicitly declined (e.g. insufficient funds). This feature covers the much larger, earlier problem: customers who never completed a payment attempt at all, or who abandoned mid-flow — during app-switching, OTP entry, or redirect — before any decline event occurred. These are structurally different moments in the funnel.</w:t>
      </w:r>
    </w:p>
    <w:p>
      <w:pPr>
        <w:pStyle w:val="Heading1"/>
        <w:spacing w:after="190" w:before="380"/>
      </w:pPr>
      <w:r>
        <w:t xml:space="preserve">1. The Issue — What's Actually Broken</w:t>
      </w:r>
    </w:p>
    <w:p>
      <w:pPr>
        <w:spacing w:after="150"/>
      </w:pPr>
      <w:r>
        <w:t xml:space="preserve">Cart and checkout abandonment sits at roughly 70-72% globally and has stayed remarkably stable for years, making it a structural problem rather than a seasonal one. Globally this represents an estimated $260 billion in recoverable revenue across the US and EU alone from checkout-flow improvements. But the generic version of this problem — and the generic recovery playbook (a three-email sequence at 1 hour, 24 hours, and 72 hours) — is not what makes this relevant to Razorpay specifically. What makes it relevant is a distinctly Indian mechanism: a large share of mobile abandonment happens not because the customer changed their mind, but because of what happens during the UPI redirect journey itself.</w:t>
      </w:r>
    </w:p>
    <w:p>
      <w:pPr>
        <w:spacing w:after="150"/>
      </w:pPr>
      <w:r>
        <w:t xml:space="preserve">PayU's own guidance for Indian merchants states this plainly: when mobile users abandon specifically after selecting a payment method, the cause is usually redirect handling, OTP friction, app-switching, or page speed — not poor reminder timing. This matters because it means a large share of India's checkout abandonment is a technical/UX failure mid-transaction, not a customer-intent problem that a reminder email can fix. Sending a generic "you left something in your cart" email to someone who actually tried to pay and got stuck switching between their UPI app and the merchant's checkout page is solving the wrong problem entirely.</w:t>
      </w:r>
    </w:p>
    <w:p>
      <w:pPr>
        <w:pStyle w:val="Heading1"/>
        <w:spacing w:after="190" w:before="380"/>
      </w:pPr>
      <w:r>
        <w:t xml:space="preserve">2. Why This Matters —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4"/>
              <w:left w:val="single" w:color="CCCCCC" w:sz="4"/>
              <w:bottom w:val="single" w:color="CCCCCC" w:sz="4"/>
              <w:right w:val="single" w:color="CCCCCC" w:sz="4"/>
            </w:tcBorders>
            <w:shd w:fill="0F4C5C" w:val="clear"/>
            <w:tcMar>
              <w:top w:type="dxa" w:w="90"/>
              <w:left w:type="dxa" w:w="110"/>
              <w:bottom w:type="dxa" w:w="90"/>
              <w:right w:type="dxa" w:w="110"/>
            </w:tcMar>
          </w:tcPr>
          <w:p>
            <w:r>
              <w:rPr>
                <w:b/>
                <w:bCs/>
                <w:color w:val="FFFFFF"/>
                <w:sz w:val="19"/>
                <w:szCs w:val="19"/>
              </w:rPr>
              <w:t xml:space="preserve">Finding</w:t>
            </w:r>
          </w:p>
        </w:tc>
        <w:tc>
          <w:tcPr>
            <w:tcW w:type="dxa" w:w="6460"/>
            <w:tcBorders>
              <w:top w:val="single" w:color="CCCCCC" w:sz="4"/>
              <w:left w:val="single" w:color="CCCCCC" w:sz="4"/>
              <w:bottom w:val="single" w:color="CCCCCC" w:sz="4"/>
              <w:right w:val="single" w:color="CCCCCC" w:sz="4"/>
            </w:tcBorders>
            <w:shd w:fill="0F4C5C" w:val="clear"/>
            <w:tcMar>
              <w:top w:type="dxa" w:w="90"/>
              <w:left w:type="dxa" w:w="110"/>
              <w:bottom w:type="dxa" w:w="90"/>
              <w:right w:type="dxa" w:w="110"/>
            </w:tcMar>
          </w:tcPr>
          <w:p>
            <w:r>
              <w:rPr>
                <w:b/>
                <w:bCs/>
                <w:color w:val="FFFFFF"/>
                <w:sz w:val="19"/>
                <w:szCs w:val="19"/>
              </w:rPr>
              <w:t xml:space="preserve">Why it matters</w:t>
            </w:r>
          </w:p>
        </w:tc>
      </w:tr>
      <w:tr>
        <w:tc>
          <w:tcPr>
            <w:tcW w:type="dxa" w:w="2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b w:val="false"/>
                <w:bCs w:val="false"/>
                <w:sz w:val="19"/>
                <w:szCs w:val="19"/>
              </w:rPr>
              <w:t xml:space="preserve">70-72% average abandonment, stable for years</w:t>
            </w:r>
          </w:p>
        </w:tc>
        <w:tc>
          <w:tcPr>
            <w:tcW w:type="dxa" w:w="64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b w:val="false"/>
                <w:bCs w:val="false"/>
                <w:sz w:val="19"/>
                <w:szCs w:val="19"/>
              </w:rPr>
              <w:t xml:space="preserve">This is not a niche problem — it's the largest single revenue leak most e-commerce and subscription businesses have, larger in absolute terms than any single failure-cause category covered elsewhere in this project.</w:t>
            </w:r>
          </w:p>
        </w:tc>
      </w:tr>
      <w:tr>
        <w:tc>
          <w:tcPr>
            <w:tcW w:type="dxa" w:w="2900"/>
            <w:tcBorders>
              <w:top w:val="single" w:color="CCCCCC" w:sz="4"/>
              <w:left w:val="single" w:color="CCCCCC" w:sz="4"/>
              <w:bottom w:val="single" w:color="CCCCCC" w:sz="4"/>
              <w:right w:val="single" w:color="CCCCCC" w:sz="4"/>
            </w:tcBorders>
            <w:shd w:fill="EAF3F4" w:val="clear"/>
            <w:tcMar>
              <w:top w:type="dxa" w:w="90"/>
              <w:left w:type="dxa" w:w="110"/>
              <w:bottom w:type="dxa" w:w="90"/>
              <w:right w:type="dxa" w:w="110"/>
            </w:tcMar>
          </w:tcPr>
          <w:p>
            <w:r>
              <w:rPr>
                <w:b w:val="false"/>
                <w:bCs w:val="false"/>
                <w:sz w:val="19"/>
                <w:szCs w:val="19"/>
              </w:rPr>
              <w:t xml:space="preserve">Guest checkout, upfront cost display, and Apple/Google Pay-equivalent options reduce abandonment 20-35% before any recovery automation even runs</w:t>
            </w:r>
          </w:p>
        </w:tc>
        <w:tc>
          <w:tcPr>
            <w:tcW w:type="dxa" w:w="6460"/>
            <w:tcBorders>
              <w:top w:val="single" w:color="CCCCCC" w:sz="4"/>
              <w:left w:val="single" w:color="CCCCCC" w:sz="4"/>
              <w:bottom w:val="single" w:color="CCCCCC" w:sz="4"/>
              <w:right w:val="single" w:color="CCCCCC" w:sz="4"/>
            </w:tcBorders>
            <w:shd w:fill="EAF3F4" w:val="clear"/>
            <w:tcMar>
              <w:top w:type="dxa" w:w="90"/>
              <w:left w:type="dxa" w:w="110"/>
              <w:bottom w:type="dxa" w:w="90"/>
              <w:right w:type="dxa" w:w="110"/>
            </w:tcMar>
          </w:tcPr>
          <w:p>
            <w:r>
              <w:rPr>
                <w:b w:val="false"/>
                <w:bCs w:val="false"/>
                <w:sz w:val="19"/>
                <w:szCs w:val="19"/>
              </w:rPr>
              <w:t xml:space="preserve">This confirms prevention (fixing the checkout flow itself) is a bigger lever than recovery (chasing customers after they've left) — an important framing point, since most of this project focuses on recovery, not prevention.</w:t>
            </w:r>
          </w:p>
        </w:tc>
      </w:tr>
      <w:tr>
        <w:tc>
          <w:tcPr>
            <w:tcW w:type="dxa" w:w="2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b w:val="false"/>
                <w:bCs w:val="false"/>
                <w:sz w:val="19"/>
                <w:szCs w:val="19"/>
              </w:rPr>
              <w:t xml:space="preserve">Standard 3-message sequences recover 15-30% of abandoned carts</w:t>
            </w:r>
          </w:p>
        </w:tc>
        <w:tc>
          <w:tcPr>
            <w:tcW w:type="dxa" w:w="64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b w:val="false"/>
                <w:bCs w:val="false"/>
                <w:sz w:val="19"/>
                <w:szCs w:val="19"/>
              </w:rPr>
              <w:t xml:space="preserve">Sets the baseline this feature should aim to beat specifically for the payment-friction segment, by diagnosing the actual cause rather than sending a generic reminder to everyone.</w:t>
            </w:r>
          </w:p>
        </w:tc>
      </w:tr>
      <w:tr>
        <w:tc>
          <w:tcPr>
            <w:tcW w:type="dxa" w:w="2900"/>
            <w:tcBorders>
              <w:top w:val="single" w:color="CCCCCC" w:sz="4"/>
              <w:left w:val="single" w:color="CCCCCC" w:sz="4"/>
              <w:bottom w:val="single" w:color="CCCCCC" w:sz="4"/>
              <w:right w:val="single" w:color="CCCCCC" w:sz="4"/>
            </w:tcBorders>
            <w:shd w:fill="EAF3F4" w:val="clear"/>
            <w:tcMar>
              <w:top w:type="dxa" w:w="90"/>
              <w:left w:type="dxa" w:w="110"/>
              <w:bottom w:type="dxa" w:w="90"/>
              <w:right w:type="dxa" w:w="110"/>
            </w:tcMar>
          </w:tcPr>
          <w:p>
            <w:r>
              <w:rPr>
                <w:b w:val="false"/>
                <w:bCs w:val="false"/>
                <w:sz w:val="19"/>
                <w:szCs w:val="19"/>
              </w:rPr>
              <w:t xml:space="preserve">AI-based predictive exit-intent outperforms rule-based exit-intent by 2-3x, detecting abandonment signals 2-4 seconds before the user actually leaves</w:t>
            </w:r>
          </w:p>
        </w:tc>
        <w:tc>
          <w:tcPr>
            <w:tcW w:type="dxa" w:w="6460"/>
            <w:tcBorders>
              <w:top w:val="single" w:color="CCCCCC" w:sz="4"/>
              <w:left w:val="single" w:color="CCCCCC" w:sz="4"/>
              <w:bottom w:val="single" w:color="CCCCCC" w:sz="4"/>
              <w:right w:val="single" w:color="CCCCCC" w:sz="4"/>
            </w:tcBorders>
            <w:shd w:fill="EAF3F4" w:val="clear"/>
            <w:tcMar>
              <w:top w:type="dxa" w:w="90"/>
              <w:left w:type="dxa" w:w="110"/>
              <w:bottom w:type="dxa" w:w="90"/>
              <w:right w:type="dxa" w:w="110"/>
            </w:tcMar>
          </w:tcPr>
          <w:p>
            <w:r>
              <w:rPr>
                <w:b w:val="false"/>
                <w:bCs w:val="false"/>
                <w:sz w:val="19"/>
                <w:szCs w:val="19"/>
              </w:rPr>
              <w:t xml:space="preserve">This is the genuine AI opportunity in this feature — not the recovery messaging itself (which is mostly rules, as established for the BNPL feature), but the prediction of imminent abandonment while the customer is still on the page, when intervention is still possible.</w:t>
            </w:r>
          </w:p>
        </w:tc>
      </w:tr>
    </w:tbl>
    <w:p>
      <w:pPr>
        <w:pStyle w:val="Heading1"/>
        <w:spacing w:after="190" w:before="380"/>
      </w:pPr>
      <w:r>
        <w:t xml:space="preserve">3. Why This Wasn't Already Fixed</w:t>
      </w:r>
    </w:p>
    <w:p>
      <w:pPr>
        <w:spacing w:after="150"/>
      </w:pPr>
      <w:r>
        <w:t xml:space="preserve">The general cart-abandonment-recovery playbook (email sequences, exit-intent popups, retargeting ads) is extremely well established and heavily commoditized — tools like Klaviyo and built-in Shopify/WooCommerce automation already do this at scale, which is exactly why this category was flagged as 'crowded' in earlier research on this project. What's under-addressed specifically for the Indian payment context is the diagnostic layer: distinguishing a customer who left because of genuine disinterest from one who left because their UPI app redirect failed to return them to the merchant page, or because an OTP took too long to arrive. Generic tools treat both cases identically; neither the messaging nor the fix should be the same.</w:t>
      </w:r>
    </w:p>
    <w:p>
      <w:pPr>
        <w:pStyle w:val="Heading1"/>
        <w:spacing w:after="190" w:before="380"/>
      </w:pPr>
      <w:r>
        <w:t xml:space="preserve">4. The Fix — System Design</w:t>
      </w:r>
    </w:p>
    <w:p>
      <w:pPr>
        <w:pStyle w:val="Heading2"/>
        <w:spacing w:after="130" w:before="260"/>
      </w:pPr>
      <w:r>
        <w:t xml:space="preserve">4.1 Two distinct sub-problems, two distinct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660"/>
      </w:tblGrid>
      <w:tr>
        <w:tc>
          <w:tcPr>
            <w:tcW w:type="dxa" w:w="2600"/>
            <w:tcBorders>
              <w:top w:val="single" w:color="CCCCCC" w:sz="4"/>
              <w:left w:val="single" w:color="CCCCCC" w:sz="4"/>
              <w:bottom w:val="single" w:color="CCCCCC" w:sz="4"/>
              <w:right w:val="single" w:color="CCCCCC" w:sz="4"/>
            </w:tcBorders>
            <w:shd w:fill="0F4C5C" w:val="clear"/>
            <w:tcMar>
              <w:top w:type="dxa" w:w="90"/>
              <w:left w:type="dxa" w:w="110"/>
              <w:bottom w:type="dxa" w:w="90"/>
              <w:right w:type="dxa" w:w="110"/>
            </w:tcMar>
          </w:tcPr>
          <w:p>
            <w:r>
              <w:rPr>
                <w:b/>
                <w:bCs/>
                <w:color w:val="FFFFFF"/>
                <w:sz w:val="19"/>
                <w:szCs w:val="19"/>
              </w:rPr>
              <w:t xml:space="preserve">Sub-problem</w:t>
            </w:r>
          </w:p>
        </w:tc>
        <w:tc>
          <w:tcPr>
            <w:tcW w:type="dxa" w:w="6660"/>
            <w:tcBorders>
              <w:top w:val="single" w:color="CCCCCC" w:sz="4"/>
              <w:left w:val="single" w:color="CCCCCC" w:sz="4"/>
              <w:bottom w:val="single" w:color="CCCCCC" w:sz="4"/>
              <w:right w:val="single" w:color="CCCCCC" w:sz="4"/>
            </w:tcBorders>
            <w:shd w:fill="0F4C5C" w:val="clear"/>
            <w:tcMar>
              <w:top w:type="dxa" w:w="90"/>
              <w:left w:type="dxa" w:w="110"/>
              <w:bottom w:type="dxa" w:w="90"/>
              <w:right w:type="dxa" w:w="110"/>
            </w:tcMar>
          </w:tcPr>
          <w:p>
            <w:r>
              <w:rPr>
                <w:b/>
                <w:bCs/>
                <w:color w:val="FFFFFF"/>
                <w:sz w:val="19"/>
                <w:szCs w:val="19"/>
              </w:rPr>
              <w:t xml:space="preserve">Mechanism</w:t>
            </w:r>
          </w:p>
        </w:tc>
      </w:tr>
      <w:tr>
        <w:tc>
          <w:tcPr>
            <w:tcW w:type="dxa" w:w="26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b w:val="false"/>
                <w:bCs w:val="false"/>
                <w:sz w:val="19"/>
                <w:szCs w:val="19"/>
              </w:rPr>
              <w:t xml:space="preserve">Pre-payment-attempt abandonment (never tried to pay)</w:t>
            </w:r>
          </w:p>
        </w:tc>
        <w:tc>
          <w:tcPr>
            <w:tcW w:type="dxa" w:w="66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b w:val="false"/>
                <w:bCs w:val="false"/>
                <w:sz w:val="19"/>
                <w:szCs w:val="19"/>
              </w:rPr>
              <w:t xml:space="preserve">Standard predictive exit-intent + message sequence — this is the well-established, largely rules-based/light-ML playbook (behavioral-signal scoring, then a timed 1hr/24hr/72hr sequence). Not a novel mechanism, but necessary table stakes.</w:t>
            </w:r>
          </w:p>
        </w:tc>
      </w:tr>
      <w:tr>
        <w:tc>
          <w:tcPr>
            <w:tcW w:type="dxa" w:w="2600"/>
            <w:tcBorders>
              <w:top w:val="single" w:color="CCCCCC" w:sz="4"/>
              <w:left w:val="single" w:color="CCCCCC" w:sz="4"/>
              <w:bottom w:val="single" w:color="CCCCCC" w:sz="4"/>
              <w:right w:val="single" w:color="CCCCCC" w:sz="4"/>
            </w:tcBorders>
            <w:shd w:fill="EAF3F4" w:val="clear"/>
            <w:tcMar>
              <w:top w:type="dxa" w:w="90"/>
              <w:left w:type="dxa" w:w="110"/>
              <w:bottom w:type="dxa" w:w="90"/>
              <w:right w:type="dxa" w:w="110"/>
            </w:tcMar>
          </w:tcPr>
          <w:p>
            <w:r>
              <w:rPr>
                <w:b w:val="false"/>
                <w:bCs w:val="false"/>
                <w:sz w:val="19"/>
                <w:szCs w:val="19"/>
              </w:rPr>
              <w:t xml:space="preserve">Mid-payment-attempt abandonment (started paying, got stuck)</w:t>
            </w:r>
          </w:p>
        </w:tc>
        <w:tc>
          <w:tcPr>
            <w:tcW w:type="dxa" w:w="6660"/>
            <w:tcBorders>
              <w:top w:val="single" w:color="CCCCCC" w:sz="4"/>
              <w:left w:val="single" w:color="CCCCCC" w:sz="4"/>
              <w:bottom w:val="single" w:color="CCCCCC" w:sz="4"/>
              <w:right w:val="single" w:color="CCCCCC" w:sz="4"/>
            </w:tcBorders>
            <w:shd w:fill="EAF3F4" w:val="clear"/>
            <w:tcMar>
              <w:top w:type="dxa" w:w="90"/>
              <w:left w:type="dxa" w:w="110"/>
              <w:bottom w:type="dxa" w:w="90"/>
              <w:right w:type="dxa" w:w="110"/>
            </w:tcMar>
          </w:tcPr>
          <w:p>
            <w:r>
              <w:rPr>
                <w:b w:val="false"/>
                <w:bCs w:val="false"/>
                <w:sz w:val="19"/>
                <w:szCs w:val="19"/>
              </w:rPr>
              <w:t xml:space="preserve">This is the India-specific, genuinely differentiated piece: diagnosing WHERE in the redirect/OTP/app-switch flow the customer stalled, using session/event data (time spent per step, whether the UPI app redirect returned successfully, OTP delivery/entry timing), and recovering with a payment-link message referencing their last selected payment mode specifically, rather than a generic cart reminder.</w:t>
            </w:r>
          </w:p>
        </w:tc>
      </w:tr>
    </w:tbl>
    <w:p>
      <w:pPr>
        <w:pStyle w:val="Heading2"/>
        <w:spacing w:after="130" w:before="260"/>
      </w:pPr>
      <w:r>
        <w:t xml:space="preserve">4.2 Mid-flow diagnostic logic (the novel part)</w:t>
      </w:r>
    </w:p>
    <w:p>
      <w:pPr>
        <w:shd w:fill="F2F2F2" w:val="clear"/>
        <w:spacing w:after="200"/>
      </w:pPr>
      <w:r>
        <w:rPr>
          <w:rFonts w:ascii="Courier New" w:cs="Courier New" w:eastAsia="Courier New" w:hAnsi="Courier New"/>
          <w:sz w:val="18"/>
          <w:szCs w:val="18"/>
        </w:rPr>
        <w:t xml:space="preserve">1. Track session events per checkout step: cart -&gt; payment method
</w:t>
      </w:r>
      <w:r>
        <w:rPr>
          <w:rFonts w:ascii="Courier New" w:cs="Courier New" w:eastAsia="Courier New" w:hAnsi="Courier New"/>
          <w:sz w:val="18"/>
          <w:szCs w:val="18"/>
        </w:rPr>
        <w:br/>
        <w:t xml:space="preserve">   selected -&gt; redirect initiated -&gt; redirect returned -&gt; OTP sent
</w:t>
      </w:r>
      <w:r>
        <w:rPr>
          <w:rFonts w:ascii="Courier New" w:cs="Courier New" w:eastAsia="Courier New" w:hAnsi="Courier New"/>
          <w:sz w:val="18"/>
          <w:szCs w:val="18"/>
        </w:rPr>
        <w:br/>
        <w:t xml:space="preserve">   -&gt; OTP entered -&gt; payment completed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2. IF abandonment occurs AFTER 'payment method selected':
</w:t>
      </w:r>
      <w:r>
        <w:rPr>
          <w:rFonts w:ascii="Courier New" w:cs="Courier New" w:eastAsia="Courier New" w:hAnsi="Courier New"/>
          <w:sz w:val="18"/>
          <w:szCs w:val="18"/>
        </w:rPr>
        <w:br/>
        <w:t xml:space="preserve">     a. IF redirect_initiated == true AND redirect_returned == false:
</w:t>
      </w:r>
      <w:r>
        <w:rPr>
          <w:rFonts w:ascii="Courier New" w:cs="Courier New" w:eastAsia="Courier New" w:hAnsi="Courier New"/>
          <w:sz w:val="18"/>
          <w:szCs w:val="18"/>
        </w:rPr>
        <w:br/>
        <w:t xml:space="preserve">        -&gt; diagnosis = 'app_switch_failure'
</w:t>
      </w:r>
      <w:r>
        <w:rPr>
          <w:rFonts w:ascii="Courier New" w:cs="Courier New" w:eastAsia="Courier New" w:hAnsi="Courier New"/>
          <w:sz w:val="18"/>
          <w:szCs w:val="18"/>
        </w:rPr>
        <w:br/>
        <w:t xml:space="preserve">        -&gt; recommended message: direct payment link (bypasses the
</w:t>
      </w:r>
      <w:r>
        <w:rPr>
          <w:rFonts w:ascii="Courier New" w:cs="Courier New" w:eastAsia="Courier New" w:hAnsi="Courier New"/>
          <w:sz w:val="18"/>
          <w:szCs w:val="18"/>
        </w:rPr>
        <w:br/>
        <w:t xml:space="preserve">           redirect step entirely on retry)
</w:t>
      </w:r>
      <w:r>
        <w:rPr>
          <w:rFonts w:ascii="Courier New" w:cs="Courier New" w:eastAsia="Courier New" w:hAnsi="Courier New"/>
          <w:sz w:val="18"/>
          <w:szCs w:val="18"/>
        </w:rPr>
        <w:br/>
        <w:t xml:space="preserve">     b. IF otp_sent == true AND otp_entered == false
</w:t>
      </w:r>
      <w:r>
        <w:rPr>
          <w:rFonts w:ascii="Courier New" w:cs="Courier New" w:eastAsia="Courier New" w:hAnsi="Courier New"/>
          <w:sz w:val="18"/>
          <w:szCs w:val="18"/>
        </w:rPr>
        <w:br/>
        <w:t xml:space="preserve">        AND time_since_otp_sent &gt; expected_delivery_window:
</w:t>
      </w:r>
      <w:r>
        <w:rPr>
          <w:rFonts w:ascii="Courier New" w:cs="Courier New" w:eastAsia="Courier New" w:hAnsi="Courier New"/>
          <w:sz w:val="18"/>
          <w:szCs w:val="18"/>
        </w:rPr>
        <w:br/>
        <w:t xml:space="preserve">        -&gt; diagnosis = 'otp_delivery_delay'
</w:t>
      </w:r>
      <w:r>
        <w:rPr>
          <w:rFonts w:ascii="Courier New" w:cs="Courier New" w:eastAsia="Courier New" w:hAnsi="Courier New"/>
          <w:sz w:val="18"/>
          <w:szCs w:val="18"/>
        </w:rPr>
        <w:br/>
        <w:t xml:space="preserve">        -&gt; recommended message: payment link + note that OTP
</w:t>
      </w:r>
      <w:r>
        <w:rPr>
          <w:rFonts w:ascii="Courier New" w:cs="Courier New" w:eastAsia="Courier New" w:hAnsi="Courier New"/>
          <w:sz w:val="18"/>
          <w:szCs w:val="18"/>
        </w:rPr>
        <w:br/>
        <w:t xml:space="preserve">           delivery can be delayed, try again during off-peak
</w:t>
      </w:r>
      <w:r>
        <w:rPr>
          <w:rFonts w:ascii="Courier New" w:cs="Courier New" w:eastAsia="Courier New" w:hAnsi="Courier New"/>
          <w:sz w:val="18"/>
          <w:szCs w:val="18"/>
        </w:rPr>
        <w:br/>
        <w:t xml:space="preserve">     c. ELSE:
</w:t>
      </w:r>
      <w:r>
        <w:rPr>
          <w:rFonts w:ascii="Courier New" w:cs="Courier New" w:eastAsia="Courier New" w:hAnsi="Courier New"/>
          <w:sz w:val="18"/>
          <w:szCs w:val="18"/>
        </w:rPr>
        <w:br/>
        <w:t xml:space="preserve">        -&gt; diagnosis = 'genuine_abandonment_mid_payment'
</w:t>
      </w:r>
      <w:r>
        <w:rPr>
          <w:rFonts w:ascii="Courier New" w:cs="Courier New" w:eastAsia="Courier New" w:hAnsi="Courier New"/>
          <w:sz w:val="18"/>
          <w:szCs w:val="18"/>
        </w:rPr>
        <w:br/>
        <w:t xml:space="preserve">        -&gt; standard recovery sequence applies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3. IF abandonment occurs BEFORE 'payment method selected':
</w:t>
      </w:r>
      <w:r>
        <w:rPr>
          <w:rFonts w:ascii="Courier New" w:cs="Courier New" w:eastAsia="Courier New" w:hAnsi="Courier New"/>
          <w:sz w:val="18"/>
          <w:szCs w:val="18"/>
        </w:rPr>
        <w:br/>
        <w:t xml:space="preserve">     -&gt; standard pre-payment exit-intent + reminder sequence
</w:t>
      </w:r>
      <w:r>
        <w:rPr>
          <w:rFonts w:ascii="Courier New" w:cs="Courier New" w:eastAsia="Courier New" w:hAnsi="Courier New"/>
          <w:sz w:val="18"/>
          <w:szCs w:val="18"/>
        </w:rPr>
        <w:br/>
        <w:t xml:space="preserve">        (not a novel mechanism, table stakes only)</w:t>
      </w:r>
    </w:p>
    <w:p>
      <w:pPr>
        <w:pStyle w:val="Heading2"/>
        <w:spacing w:after="130" w:before="260"/>
      </w:pPr>
      <w:r>
        <w:t xml:space="preserve">4.3 Output (contract)</w:t>
      </w:r>
    </w:p>
    <w:p>
      <w:pPr>
        <w:shd w:fill="F2F2F2" w:val="clear"/>
        <w:spacing w:after="200"/>
      </w:pPr>
      <w:r>
        <w:rPr>
          <w:rFonts w:ascii="Courier New" w:cs="Courier New" w:eastAsia="Courier New" w:hAnsi="Courier New"/>
          <w:sz w:val="18"/>
          <w:szCs w:val="18"/>
        </w:rPr>
        <w:t xml:space="preserve">{
</w:t>
      </w:r>
      <w:r>
        <w:rPr>
          <w:rFonts w:ascii="Courier New" w:cs="Courier New" w:eastAsia="Courier New" w:hAnsi="Courier New"/>
          <w:sz w:val="18"/>
          <w:szCs w:val="18"/>
        </w:rPr>
        <w:br/>
        <w:t xml:space="preserve">  "abandonment_stage": "pre_payment" | "mid_payment",
</w:t>
      </w:r>
      <w:r>
        <w:rPr>
          <w:rFonts w:ascii="Courier New" w:cs="Courier New" w:eastAsia="Courier New" w:hAnsi="Courier New"/>
          <w:sz w:val="18"/>
          <w:szCs w:val="18"/>
        </w:rPr>
        <w:br/>
        <w:t xml:space="preserve">  "diagnosis": "app_switch_failure" | "otp_delivery_delay" |
</w:t>
      </w:r>
      <w:r>
        <w:rPr>
          <w:rFonts w:ascii="Courier New" w:cs="Courier New" w:eastAsia="Courier New" w:hAnsi="Courier New"/>
          <w:sz w:val="18"/>
          <w:szCs w:val="18"/>
        </w:rPr>
        <w:br/>
        <w:t xml:space="preserve">                "genuine_abandonment" | "pre_payment_exit",
</w:t>
      </w:r>
      <w:r>
        <w:rPr>
          <w:rFonts w:ascii="Courier New" w:cs="Courier New" w:eastAsia="Courier New" w:hAnsi="Courier New"/>
          <w:sz w:val="18"/>
          <w:szCs w:val="18"/>
        </w:rPr>
        <w:br/>
        <w:t xml:space="preserve">  "recommended_channel": "direct_payment_link" | "standard_reminder",
</w:t>
      </w:r>
      <w:r>
        <w:rPr>
          <w:rFonts w:ascii="Courier New" w:cs="Courier New" w:eastAsia="Courier New" w:hAnsi="Courier New"/>
          <w:sz w:val="18"/>
          <w:szCs w:val="18"/>
        </w:rPr>
        <w:br/>
        <w:t xml:space="preserve">  "recommended_send_time": "...",
</w:t>
      </w:r>
      <w:r>
        <w:rPr>
          <w:rFonts w:ascii="Courier New" w:cs="Courier New" w:eastAsia="Courier New" w:hAnsi="Courier New"/>
          <w:sz w:val="18"/>
          <w:szCs w:val="18"/>
        </w:rPr>
        <w:br/>
        <w:t xml:space="preserve">  "predicted_recovery_probability": 0.0-1.0
</w:t>
      </w:r>
      <w:r>
        <w:rPr>
          <w:rFonts w:ascii="Courier New" w:cs="Courier New" w:eastAsia="Courier New" w:hAnsi="Courier New"/>
          <w:sz w:val="18"/>
          <w:szCs w:val="18"/>
        </w:rPr>
        <w:br/>
        <w:t xml:space="preserve">}</w:t>
      </w:r>
    </w:p>
    <w:p>
      <w:pPr>
        <w:pStyle w:val="Heading1"/>
        <w:spacing w:after="190" w:before="380"/>
      </w:pPr>
      <w:r>
        <w:t xml:space="preserve">5. Why This Is Mostly Rules/Light-ML, With One Genuine AI Piece</w:t>
      </w:r>
    </w:p>
    <w:p>
      <w:pPr>
        <w:spacing w:after="150"/>
      </w:pPr>
      <w:r>
        <w:t xml:space="preserve">The mid-flow diagnostic logic (Section 4.2) is deterministic — it's reading session event timestamps against expected windows, not predicting anything. The one genuine AI/ML piece is the pre-payment predictive exit-intent model referenced in Section 2 (behavioral-signal scoring to predict abandonment 2-4 seconds early) — this is the same category of classical ML already established elsewhere in this project (logistic regression/gradient boosting on behavioral features), not a new AI concept, but it is the part of this feature that's genuinely AI, and it should be described honestly as such rather than overselling the whole feature as AI-driven.</w:t>
      </w:r>
    </w:p>
    <w:p>
      <w:pPr>
        <w:pStyle w:val="Heading1"/>
        <w:spacing w:after="190" w:before="380"/>
      </w:pPr>
      <w:r>
        <w:t xml:space="preserve">6. Edge Cases to Design For</w:t>
      </w:r>
    </w:p>
    <w:p>
      <w:pPr>
        <w:pStyle w:val="ListParagraph"/>
        <w:numPr>
          <w:ilvl w:val="0"/>
          <w:numId w:val="1"/>
        </w:numPr>
        <w:spacing w:after="90"/>
      </w:pPr>
      <w:r>
        <w:rPr>
          <w:b/>
          <w:bCs/>
        </w:rPr>
        <w:t xml:space="preserve">Don't message someone who's about to complete the payment anyway:</w:t>
      </w:r>
      <w:r>
        <w:t xml:space="preserve"> A customer whose OTP simply arrived late and who is still on the page when it finally arrives should not receive a recovery message at all — the diagnostic logic must check whether the session is still active before triggering any message.</w:t>
      </w:r>
    </w:p>
    <w:p>
      <w:pPr>
        <w:pStyle w:val="ListParagraph"/>
        <w:numPr>
          <w:ilvl w:val="0"/>
          <w:numId w:val="1"/>
        </w:numPr>
        <w:spacing w:after="90"/>
      </w:pPr>
      <w:r>
        <w:rPr>
          <w:b/>
          <w:bCs/>
        </w:rPr>
        <w:t xml:space="preserve">Recovery links must preserve context, not just point back to checkout:</w:t>
      </w:r>
      <w:r>
        <w:t xml:space="preserve"> A payment link recommended for app_switch_failure should route to the exact same cart/amount, not a generic checkout page — otherwise the 'fix' reintroduces the same friction it's trying to remove.</w:t>
      </w:r>
    </w:p>
    <w:p>
      <w:pPr>
        <w:pStyle w:val="ListParagraph"/>
        <w:numPr>
          <w:ilvl w:val="0"/>
          <w:numId w:val="1"/>
        </w:numPr>
        <w:spacing w:after="90"/>
      </w:pPr>
      <w:r>
        <w:rPr>
          <w:b/>
          <w:bCs/>
        </w:rPr>
        <w:t xml:space="preserve">Security of recovery links:</w:t>
      </w:r>
      <w:r>
        <w:t xml:space="preserve"> This feature must never expose sensitive payment details in a recovery message, and recovery links should be secure and time-limited — a direct, explicit guideline already established by PayU's own merchant guidance for the Indian market.</w:t>
      </w:r>
    </w:p>
    <w:p>
      <w:pPr>
        <w:pStyle w:val="Heading1"/>
        <w:spacing w:after="190" w:before="380"/>
      </w:pPr>
      <w:r>
        <w:t xml:space="preserve">7. How to Validate This Is Actually Working</w:t>
      </w:r>
    </w:p>
    <w:p>
      <w:pPr>
        <w:pStyle w:val="ListParagraph"/>
        <w:numPr>
          <w:ilvl w:val="0"/>
          <w:numId w:val="1"/>
        </w:numPr>
        <w:spacing w:after="90"/>
      </w:pPr>
      <w:r>
        <w:rPr>
          <w:b/>
          <w:bCs/>
        </w:rPr>
        <w:t xml:space="preserve">Test set:</w:t>
      </w:r>
      <w:r>
        <w:t xml:space="preserve"> Build synthetic checkout sessions with events at each step, deliberately including app_switch_failure and otp_delivery_delay cases alongside genuine abandonment and pre-payment exits — confirm the diagnostic logic correctly categorizes each.</w:t>
      </w:r>
    </w:p>
    <w:p>
      <w:pPr>
        <w:pStyle w:val="ListParagraph"/>
        <w:numPr>
          <w:ilvl w:val="0"/>
          <w:numId w:val="1"/>
        </w:numPr>
        <w:spacing w:after="90"/>
      </w:pPr>
      <w:r>
        <w:rPr>
          <w:b/>
          <w:bCs/>
        </w:rPr>
        <w:t xml:space="preserve">Recovery measurement:</w:t>
      </w:r>
      <w:r>
        <w:t xml:space="preserve"> Apply the same control (₹0, no recovery system) vs. treatment (this feature active) evaluation structure already established for the MDR feature — report actual recovered ₹ from a verified follow-through payment, not just messages sent.</w:t>
      </w:r>
    </w:p>
    <w:p>
      <w:pPr>
        <w:pStyle w:val="Heading1"/>
        <w:spacing w:after="190" w:before="380"/>
      </w:pPr>
      <w:r>
        <w:t xml:space="preserve">8. Where This Sits in the Project</w:t>
      </w:r>
    </w:p>
    <w:p>
      <w:pPr>
        <w:spacing w:after="150"/>
      </w:pPr>
      <w:r>
        <w:t xml:space="preserve">This is independent of the Core pipeline (Features 1-4), since it operates on pre-transaction/checkout session data rather than post-failure payment data — a customer here may never have generated a transaction event for Feature 1 to classify at all. It's complementary to the BNPL-on-decline feature (which only fires after an explicit decline) and directly answers Razorpay's own named example direction for this track, closing a real gap in the current feature set rather than adding a tangential idea.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2026-09-02T11:37:32.898Z</dcterms:created>
  <dcterms:modified xsi:type="dcterms:W3CDTF">2026-09-02T11:37:32.916Z</dcterms:modified>
</cp:coreProperties>
</file>

<file path=docProps/custom.xml><?xml version="1.0" encoding="utf-8"?>
<Properties xmlns="http://schemas.openxmlformats.org/officeDocument/2006/custom-properties" xmlns:vt="http://schemas.openxmlformats.org/officeDocument/2006/docPropsVTypes"/>
</file>