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444441"/>
          <w:sz w:val="20"/>
          <w:szCs w:val="20"/>
        </w:rPr>
        <w:t xml:space="preserve">RAZORPAY AI BUILDATHON 2026</w:t>
      </w:r>
    </w:p>
    <w:p>
      <w:pPr>
        <w:spacing w:after="40"/>
      </w:pPr>
      <w:r>
        <w:rPr>
          <w:b/>
          <w:bCs/>
          <w:color w:val="0C447C"/>
          <w:sz w:val="44"/>
          <w:szCs w:val="44"/>
        </w:rPr>
        <w:t xml:space="preserve">Feature 1 — Root-Cause Classifier</w:t>
      </w:r>
    </w:p>
    <w:p>
      <w:pPr>
        <w:spacing w:after="300"/>
      </w:pPr>
      <w:r>
        <w:rPr>
          <w:i/>
          <w:iCs/>
          <w:color w:val="444441"/>
          <w:sz w:val="24"/>
          <w:szCs w:val="24"/>
        </w:rPr>
        <w:t xml:space="preserve">Technical Design Document: Frontend, Backend, AI/LLM, Data Pipeline &amp; Dataset References</w:t>
      </w:r>
    </w:p>
    <w:p>
      <w:pPr>
        <w:spacing w:after="160" w:line="288"/>
      </w:pPr>
      <w:r>
        <w:rPr>
          <w:b w:val="false"/>
          <w:bCs w:val="false"/>
          <w:i w:val="false"/>
          <w:iCs w:val="false"/>
        </w:rPr>
        <w:t xml:space="preserve">This document specifies the implementation of Feature 1 (Pillar B — Diagnose) end to end: the backend services, the two-layer classification logic, the LLM component, the data pipeline that feeds it, data cleaning rules, a minimal frontend for inspecting classifications during the demo, and links to public datasets and regulatory sources to ground synthetic data generation and validation. It assumes the design in the Feature 1 report and extends it to an implementable spec.</w:t>
      </w:r>
    </w:p>
    <w:p>
      <w:pPr>
        <w:pStyle w:val="Heading1"/>
        <w:spacing w:after="160" w:before="400"/>
      </w:pPr>
      <w:r>
        <w:t xml:space="preserve">1. System Overview</w:t>
      </w:r>
    </w:p>
    <w:p>
      <w:pPr>
        <w:spacing w:after="160" w:line="288"/>
      </w:pPr>
      <w:r>
        <w:rPr>
          <w:b w:val="false"/>
          <w:bCs w:val="false"/>
          <w:i w:val="false"/>
          <w:iCs w:val="false"/>
        </w:rPr>
        <w:t xml:space="preserve">The classifier sits between payment failure ingestion and the recovery/routing layer. It receives a failure event, deduplicates it, checks a deterministic rule for the RBI notification-compliance case, and — if that rule doesn't fire — passes the event to an LLM for classification across the remaining four causes. The output routes downstream to whichever recovery action the classification calls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6F1FB" w:val="clear"/>
            <w:tcMar>
              <w:top w:type="dxa" w:w="80"/>
              <w:left w:type="dxa" w:w="100"/>
              <w:bottom w:type="dxa" w:w="80"/>
              <w:right w:type="dxa" w:w="100"/>
            </w:tcMar>
          </w:tcPr>
          <w:p>
            <w:r>
              <w:rPr>
                <w:b/>
                <w:bCs/>
                <w:sz w:val="20"/>
                <w:szCs w:val="20"/>
              </w:rPr>
              <w:t xml:space="preserve">Stage</w:t>
            </w:r>
          </w:p>
        </w:tc>
        <w:tc>
          <w:tcPr>
            <w:tcW w:type="dxa" w:w="6960"/>
            <w:shd w:fill="E6F1FB" w:val="clear"/>
            <w:tcMar>
              <w:top w:type="dxa" w:w="80"/>
              <w:left w:type="dxa" w:w="100"/>
              <w:bottom w:type="dxa" w:w="80"/>
              <w:right w:type="dxa" w:w="100"/>
            </w:tcMar>
          </w:tcPr>
          <w:p>
            <w:r>
              <w:rPr>
                <w:b/>
                <w:bCs/>
                <w:sz w:val="20"/>
                <w:szCs w:val="20"/>
              </w:rPr>
              <w:t xml:space="preserve">Responsibility</w:t>
            </w:r>
          </w:p>
        </w:tc>
      </w:tr>
      <w:tr>
        <w:tc>
          <w:tcPr>
            <w:tcW w:type="dxa" w:w="2000"/>
            <w:tcMar>
              <w:top w:type="dxa" w:w="80"/>
              <w:left w:type="dxa" w:w="100"/>
              <w:bottom w:type="dxa" w:w="80"/>
              <w:right w:type="dxa" w:w="100"/>
            </w:tcMar>
          </w:tcPr>
          <w:p>
            <w:r>
              <w:rPr>
                <w:b w:val="false"/>
                <w:bCs w:val="false"/>
                <w:sz w:val="20"/>
                <w:szCs w:val="20"/>
              </w:rPr>
              <w:t xml:space="preserve">Ingest</w:t>
            </w:r>
          </w:p>
        </w:tc>
        <w:tc>
          <w:tcPr>
            <w:tcW w:type="dxa" w:w="2000"/>
            <w:tcMar>
              <w:top w:type="dxa" w:w="80"/>
              <w:left w:type="dxa" w:w="100"/>
              <w:bottom w:type="dxa" w:w="80"/>
              <w:right w:type="dxa" w:w="100"/>
            </w:tcMar>
          </w:tcPr>
          <w:p>
            <w:r>
              <w:rPr>
                <w:b w:val="false"/>
                <w:bCs w:val="false"/>
                <w:sz w:val="20"/>
                <w:szCs w:val="20"/>
              </w:rPr>
              <w:t xml:space="preserve">Receive payment-failure webhook, normalize payload, enqueue for classification</w:t>
            </w:r>
          </w:p>
        </w:tc>
      </w:tr>
      <w:tr>
        <w:tc>
          <w:tcPr>
            <w:tcW w:type="dxa" w:w="2000"/>
            <w:tcMar>
              <w:top w:type="dxa" w:w="80"/>
              <w:left w:type="dxa" w:w="100"/>
              <w:bottom w:type="dxa" w:w="80"/>
              <w:right w:type="dxa" w:w="100"/>
            </w:tcMar>
          </w:tcPr>
          <w:p>
            <w:r>
              <w:rPr>
                <w:b w:val="false"/>
                <w:bCs w:val="false"/>
                <w:sz w:val="20"/>
                <w:szCs w:val="20"/>
              </w:rPr>
              <w:t xml:space="preserve">Dedup</w:t>
            </w:r>
          </w:p>
        </w:tc>
        <w:tc>
          <w:tcPr>
            <w:tcW w:type="dxa" w:w="2000"/>
            <w:tcMar>
              <w:top w:type="dxa" w:w="80"/>
              <w:left w:type="dxa" w:w="100"/>
              <w:bottom w:type="dxa" w:w="80"/>
              <w:right w:type="dxa" w:w="100"/>
            </w:tcMar>
          </w:tcPr>
          <w:p>
            <w:r>
              <w:rPr>
                <w:b w:val="false"/>
                <w:bCs w:val="false"/>
                <w:sz w:val="20"/>
                <w:szCs w:val="20"/>
              </w:rPr>
              <w:t xml:space="preserve">Guarantee at-least-once webhook delivery does not double-classify a transaction</w:t>
            </w:r>
          </w:p>
        </w:tc>
      </w:tr>
      <w:tr>
        <w:tc>
          <w:tcPr>
            <w:tcW w:type="dxa" w:w="2000"/>
            <w:tcMar>
              <w:top w:type="dxa" w:w="80"/>
              <w:left w:type="dxa" w:w="100"/>
              <w:bottom w:type="dxa" w:w="80"/>
              <w:right w:type="dxa" w:w="100"/>
            </w:tcMar>
          </w:tcPr>
          <w:p>
            <w:r>
              <w:rPr>
                <w:b w:val="false"/>
                <w:bCs w:val="false"/>
                <w:sz w:val="20"/>
                <w:szCs w:val="20"/>
              </w:rPr>
              <w:t xml:space="preserve">Layer 1</w:t>
            </w:r>
          </w:p>
        </w:tc>
        <w:tc>
          <w:tcPr>
            <w:tcW w:type="dxa" w:w="2000"/>
            <w:tcMar>
              <w:top w:type="dxa" w:w="80"/>
              <w:left w:type="dxa" w:w="100"/>
              <w:bottom w:type="dxa" w:w="80"/>
              <w:right w:type="dxa" w:w="100"/>
            </w:tcMar>
          </w:tcPr>
          <w:p>
            <w:r>
              <w:rPr>
                <w:b w:val="false"/>
                <w:bCs w:val="false"/>
                <w:sz w:val="20"/>
                <w:szCs w:val="20"/>
              </w:rPr>
              <w:t xml:space="preserve">Deterministic check for the notification-compliance block (no LLM, confidence 1.0)</w:t>
            </w:r>
          </w:p>
        </w:tc>
      </w:tr>
      <w:tr>
        <w:tc>
          <w:tcPr>
            <w:tcW w:type="dxa" w:w="2000"/>
            <w:tcMar>
              <w:top w:type="dxa" w:w="80"/>
              <w:left w:type="dxa" w:w="100"/>
              <w:bottom w:type="dxa" w:w="80"/>
              <w:right w:type="dxa" w:w="100"/>
            </w:tcMar>
          </w:tcPr>
          <w:p>
            <w:r>
              <w:rPr>
                <w:b w:val="false"/>
                <w:bCs w:val="false"/>
                <w:sz w:val="20"/>
                <w:szCs w:val="20"/>
              </w:rPr>
              <w:t xml:space="preserve">Layer 2</w:t>
            </w:r>
          </w:p>
        </w:tc>
        <w:tc>
          <w:tcPr>
            <w:tcW w:type="dxa" w:w="2000"/>
            <w:tcMar>
              <w:top w:type="dxa" w:w="80"/>
              <w:left w:type="dxa" w:w="100"/>
              <w:bottom w:type="dxa" w:w="80"/>
              <w:right w:type="dxa" w:w="100"/>
            </w:tcMar>
          </w:tcPr>
          <w:p>
            <w:r>
              <w:rPr>
                <w:b w:val="false"/>
                <w:bCs w:val="false"/>
                <w:sz w:val="20"/>
                <w:szCs w:val="20"/>
              </w:rPr>
              <w:t xml:space="preserve">LLM classification across soft_decline, hard_decline, gateway_fault, fraud_filter_block</w:t>
            </w:r>
          </w:p>
        </w:tc>
      </w:tr>
      <w:tr>
        <w:tc>
          <w:tcPr>
            <w:tcW w:type="dxa" w:w="2000"/>
            <w:tcMar>
              <w:top w:type="dxa" w:w="80"/>
              <w:left w:type="dxa" w:w="100"/>
              <w:bottom w:type="dxa" w:w="80"/>
              <w:right w:type="dxa" w:w="100"/>
            </w:tcMar>
          </w:tcPr>
          <w:p>
            <w:r>
              <w:rPr>
                <w:b w:val="false"/>
                <w:bCs w:val="false"/>
                <w:sz w:val="20"/>
                <w:szCs w:val="20"/>
              </w:rPr>
              <w:t xml:space="preserve">Route</w:t>
            </w:r>
          </w:p>
        </w:tc>
        <w:tc>
          <w:tcPr>
            <w:tcW w:type="dxa" w:w="2000"/>
            <w:tcMar>
              <w:top w:type="dxa" w:w="80"/>
              <w:left w:type="dxa" w:w="100"/>
              <w:bottom w:type="dxa" w:w="80"/>
              <w:right w:type="dxa" w:w="100"/>
            </w:tcMar>
          </w:tcPr>
          <w:p>
            <w:r>
              <w:rPr>
                <w:b w:val="false"/>
                <w:bCs w:val="false"/>
                <w:sz w:val="20"/>
                <w:szCs w:val="20"/>
              </w:rPr>
              <w:t xml:space="preserve">Emit recommended_action to the Recover pillar; persist reasoning for the audit trail</w:t>
            </w:r>
          </w:p>
        </w:tc>
      </w:tr>
    </w:tbl>
    <w:p>
      <w:pPr>
        <w:pStyle w:val="Heading1"/>
        <w:spacing w:after="160" w:before="400"/>
      </w:pPr>
      <w:r>
        <w:t xml:space="preserve">2. Backend Design</w:t>
      </w:r>
    </w:p>
    <w:p>
      <w:pPr>
        <w:pStyle w:val="Heading2"/>
        <w:spacing w:after="120" w:before="300"/>
      </w:pPr>
      <w:r>
        <w:t xml:space="preserve">2.1 Service boundaries</w:t>
      </w:r>
    </w:p>
    <w:p>
      <w:pPr>
        <w:spacing w:after="160" w:line="288"/>
      </w:pPr>
      <w:r>
        <w:rPr>
          <w:b w:val="false"/>
          <w:bCs w:val="false"/>
          <w:i w:val="false"/>
          <w:iCs w:val="false"/>
        </w:rPr>
        <w:t xml:space="preserve">Three services, each independently deployable and independently scalable, since Layer 1 is cheap/synchronous and Layer 2 is comparatively expensive/asynchronous:</w:t>
      </w:r>
    </w:p>
    <w:p>
      <w:pPr>
        <w:pStyle w:val="ListParagraph"/>
        <w:numPr>
          <w:ilvl w:val="0"/>
          <w:numId w:val="1"/>
        </w:numPr>
        <w:spacing w:after="80" w:line="276"/>
      </w:pPr>
      <w:r>
        <w:t xml:space="preserve">Ingestion service — webhook receiver, payload validation, dedup, enqueue.</w:t>
      </w:r>
    </w:p>
    <w:p>
      <w:pPr>
        <w:pStyle w:val="ListParagraph"/>
        <w:numPr>
          <w:ilvl w:val="0"/>
          <w:numId w:val="1"/>
        </w:numPr>
        <w:spacing w:after="80" w:line="276"/>
      </w:pPr>
      <w:r>
        <w:t xml:space="preserve">Classification service — runs Layer 1, and for fall-through cases calls the LLM (Layer 2) with retry/timeout handling.</w:t>
      </w:r>
    </w:p>
    <w:p>
      <w:pPr>
        <w:pStyle w:val="ListParagraph"/>
        <w:numPr>
          <w:ilvl w:val="0"/>
          <w:numId w:val="1"/>
        </w:numPr>
        <w:spacing w:after="80" w:line="276"/>
      </w:pPr>
      <w:r>
        <w:t xml:space="preserve">Persistence &amp; audit service — writes the classification result, reasoning, and confidence to the store the dashboard (Feature 7) reads from.</w:t>
      </w:r>
    </w:p>
    <w:p>
      <w:pPr>
        <w:pStyle w:val="Heading2"/>
        <w:spacing w:after="120" w:before="300"/>
      </w:pPr>
      <w:r>
        <w:t xml:space="preserve">2.2 Data model</w:t>
      </w:r>
    </w:p>
    <w:p>
      <w:pPr>
        <w:spacing w:after="160" w:line="288"/>
      </w:pPr>
      <w:r>
        <w:rPr>
          <w:b w:val="false"/>
          <w:bCs w:val="false"/>
          <w:i w:val="false"/>
          <w:iCs w:val="false"/>
        </w:rPr>
        <w:t xml:space="preserve">Minimum schema to support classification, dedup, and audit:</w:t>
      </w:r>
    </w:p>
    <w:p>
      <w:pPr>
        <w:pBdr>
          <w:top w:val="single" w:color="B4B2A9" w:sz="2"/>
          <w:bottom w:val="single" w:color="B4B2A9" w:sz="2"/>
          <w:left w:val="single" w:color="B4B2A9" w:sz="2"/>
          <w:right w:val="single" w:color="B4B2A9" w:sz="2"/>
        </w:pBdr>
        <w:shd w:fill="F1EFE8" w:val="clear"/>
        <w:spacing w:after="200" w:before="100"/>
      </w:pPr>
      <w:r>
        <w:rPr>
          <w:rFonts w:ascii="Consolas" w:cs="Consolas" w:eastAsia="Consolas" w:hAnsi="Consolas"/>
          <w:sz w:val="18"/>
          <w:szCs w:val="18"/>
        </w:rPr>
        <w:t xml:space="preserve">transactions</w:t>
      </w:r>
      <w:r>
        <w:br/>
        <w:t xml:space="preserve"/>
      </w:r>
      <w:r>
        <w:rPr>
          <w:rFonts w:ascii="Consolas" w:cs="Consolas" w:eastAsia="Consolas" w:hAnsi="Consolas"/>
          <w:sz w:val="18"/>
          <w:szCs w:val="18"/>
        </w:rPr>
        <w:t xml:space="preserve">  id                        uuid PK</w:t>
      </w:r>
      <w:r>
        <w:br/>
        <w:t xml:space="preserve"/>
      </w:r>
      <w:r>
        <w:rPr>
          <w:rFonts w:ascii="Consolas" w:cs="Consolas" w:eastAsia="Consolas" w:hAnsi="Consolas"/>
          <w:sz w:val="18"/>
          <w:szCs w:val="18"/>
        </w:rPr>
        <w:t xml:space="preserve">  gateway_transaction_id    text  UNIQUE   -- dedup key</w:t>
      </w:r>
      <w:r>
        <w:br/>
        <w:t xml:space="preserve"/>
      </w:r>
      <w:r>
        <w:rPr>
          <w:rFonts w:ascii="Consolas" w:cs="Consolas" w:eastAsia="Consolas" w:hAnsi="Consolas"/>
          <w:sz w:val="18"/>
          <w:szCs w:val="18"/>
        </w:rPr>
        <w:t xml:space="preserve">  status_code               text</w:t>
      </w:r>
      <w:r>
        <w:br/>
        <w:t xml:space="preserve"/>
      </w:r>
      <w:r>
        <w:rPr>
          <w:rFonts w:ascii="Consolas" w:cs="Consolas" w:eastAsia="Consolas" w:hAnsi="Consolas"/>
          <w:sz w:val="18"/>
          <w:szCs w:val="18"/>
        </w:rPr>
        <w:t xml:space="preserve">  npci_response_code        text  nullable</w:t>
      </w:r>
      <w:r>
        <w:br/>
        <w:t xml:space="preserve"/>
      </w:r>
      <w:r>
        <w:rPr>
          <w:rFonts w:ascii="Consolas" w:cs="Consolas" w:eastAsia="Consolas" w:hAnsi="Consolas"/>
          <w:sz w:val="18"/>
          <w:szCs w:val="18"/>
        </w:rPr>
        <w:t xml:space="preserve">  bank_response_code        text  nullable</w:t>
      </w:r>
      <w:r>
        <w:br/>
        <w:t xml:space="preserve"/>
      </w:r>
      <w:r>
        <w:rPr>
          <w:rFonts w:ascii="Consolas" w:cs="Consolas" w:eastAsia="Consolas" w:hAnsi="Consolas"/>
          <w:sz w:val="18"/>
          <w:szCs w:val="18"/>
        </w:rPr>
        <w:t xml:space="preserve">  amount                    numeric</w:t>
      </w:r>
      <w:r>
        <w:br/>
        <w:t xml:space="preserve"/>
      </w:r>
      <w:r>
        <w:rPr>
          <w:rFonts w:ascii="Consolas" w:cs="Consolas" w:eastAsia="Consolas" w:hAnsi="Consolas"/>
          <w:sz w:val="18"/>
          <w:szCs w:val="18"/>
        </w:rPr>
        <w:t xml:space="preserve">  customer_bank             text</w:t>
      </w:r>
      <w:r>
        <w:br/>
        <w:t xml:space="preserve"/>
      </w:r>
      <w:r>
        <w:rPr>
          <w:rFonts w:ascii="Consolas" w:cs="Consolas" w:eastAsia="Consolas" w:hAnsi="Consolas"/>
          <w:sz w:val="18"/>
          <w:szCs w:val="18"/>
        </w:rPr>
        <w:t xml:space="preserve">  retry_count_so_far        int   default 0</w:t>
      </w:r>
      <w:r>
        <w:br/>
        <w:t xml:space="preserve"/>
      </w:r>
      <w:r>
        <w:rPr>
          <w:rFonts w:ascii="Consolas" w:cs="Consolas" w:eastAsia="Consolas" w:hAnsi="Consolas"/>
          <w:sz w:val="18"/>
          <w:szCs w:val="18"/>
        </w:rPr>
        <w:t xml:space="preserve">  mandate_notification_sent_at   timestamptz nullable</w:t>
      </w:r>
      <w:r>
        <w:br/>
        <w:t xml:space="preserve"/>
      </w:r>
      <w:r>
        <w:rPr>
          <w:rFonts w:ascii="Consolas" w:cs="Consolas" w:eastAsia="Consolas" w:hAnsi="Consolas"/>
          <w:sz w:val="18"/>
          <w:szCs w:val="18"/>
        </w:rPr>
        <w:t xml:space="preserve">  debit_scheduled_at        timestamptz nullable</w:t>
      </w:r>
      <w:r>
        <w:br/>
        <w:t xml:space="preserve"/>
      </w:r>
      <w:r>
        <w:rPr>
          <w:rFonts w:ascii="Consolas" w:cs="Consolas" w:eastAsia="Consolas" w:hAnsi="Consolas"/>
          <w:sz w:val="18"/>
          <w:szCs w:val="18"/>
        </w:rPr>
        <w:t xml:space="preserve">  created_at                timestamptz default now()</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classifications</w:t>
      </w:r>
      <w:r>
        <w:br/>
        <w:t xml:space="preserve"/>
      </w:r>
      <w:r>
        <w:rPr>
          <w:rFonts w:ascii="Consolas" w:cs="Consolas" w:eastAsia="Consolas" w:hAnsi="Consolas"/>
          <w:sz w:val="18"/>
          <w:szCs w:val="18"/>
        </w:rPr>
        <w:t xml:space="preserve">  id                uuid PK</w:t>
      </w:r>
      <w:r>
        <w:br/>
        <w:t xml:space="preserve"/>
      </w:r>
      <w:r>
        <w:rPr>
          <w:rFonts w:ascii="Consolas" w:cs="Consolas" w:eastAsia="Consolas" w:hAnsi="Consolas"/>
          <w:sz w:val="18"/>
          <w:szCs w:val="18"/>
        </w:rPr>
        <w:t xml:space="preserve">  transaction_id    uuid FK -&gt; transactions.id</w:t>
      </w:r>
      <w:r>
        <w:br/>
        <w:t xml:space="preserve"/>
      </w:r>
      <w:r>
        <w:rPr>
          <w:rFonts w:ascii="Consolas" w:cs="Consolas" w:eastAsia="Consolas" w:hAnsi="Consolas"/>
          <w:sz w:val="18"/>
          <w:szCs w:val="18"/>
        </w:rPr>
        <w:t xml:space="preserve">  layer             smallint      -- 1 or 2</w:t>
      </w:r>
      <w:r>
        <w:br/>
        <w:t xml:space="preserve"/>
      </w:r>
      <w:r>
        <w:rPr>
          <w:rFonts w:ascii="Consolas" w:cs="Consolas" w:eastAsia="Consolas" w:hAnsi="Consolas"/>
          <w:sz w:val="18"/>
          <w:szCs w:val="18"/>
        </w:rPr>
        <w:t xml:space="preserve">  cause             text</w:t>
      </w:r>
      <w:r>
        <w:br/>
        <w:t xml:space="preserve"/>
      </w:r>
      <w:r>
        <w:rPr>
          <w:rFonts w:ascii="Consolas" w:cs="Consolas" w:eastAsia="Consolas" w:hAnsi="Consolas"/>
          <w:sz w:val="18"/>
          <w:szCs w:val="18"/>
        </w:rPr>
        <w:t xml:space="preserve">  confidence         numeric(3,2)</w:t>
      </w:r>
      <w:r>
        <w:br/>
        <w:t xml:space="preserve"/>
      </w:r>
      <w:r>
        <w:rPr>
          <w:rFonts w:ascii="Consolas" w:cs="Consolas" w:eastAsia="Consolas" w:hAnsi="Consolas"/>
          <w:sz w:val="18"/>
          <w:szCs w:val="18"/>
        </w:rPr>
        <w:t xml:space="preserve">  reasoning          text</w:t>
      </w:r>
      <w:r>
        <w:br/>
        <w:t xml:space="preserve"/>
      </w:r>
      <w:r>
        <w:rPr>
          <w:rFonts w:ascii="Consolas" w:cs="Consolas" w:eastAsia="Consolas" w:hAnsi="Consolas"/>
          <w:sz w:val="18"/>
          <w:szCs w:val="18"/>
        </w:rPr>
        <w:t xml:space="preserve">  recommended_action text</w:t>
      </w:r>
      <w:r>
        <w:br/>
        <w:t xml:space="preserve"/>
      </w:r>
      <w:r>
        <w:rPr>
          <w:rFonts w:ascii="Consolas" w:cs="Consolas" w:eastAsia="Consolas" w:hAnsi="Consolas"/>
          <w:sz w:val="18"/>
          <w:szCs w:val="18"/>
        </w:rPr>
        <w:t xml:space="preserve">  model_version      text nullable  -- null for Layer 1</w:t>
      </w:r>
      <w:r>
        <w:br/>
        <w:t xml:space="preserve"/>
      </w:r>
      <w:r>
        <w:rPr>
          <w:rFonts w:ascii="Consolas" w:cs="Consolas" w:eastAsia="Consolas" w:hAnsi="Consolas"/>
          <w:sz w:val="18"/>
          <w:szCs w:val="18"/>
        </w:rPr>
        <w:t xml:space="preserve">  created_at         timestamptz default now()</w:t>
      </w:r>
    </w:p>
    <w:p>
      <w:pPr>
        <w:spacing w:after="160" w:line="288"/>
      </w:pPr>
      <w:r>
        <w:rPr>
          <w:b w:val="false"/>
          <w:bCs w:val="false"/>
          <w:i w:val="false"/>
          <w:iCs w:val="false"/>
        </w:rPr>
        <w:t xml:space="preserve">recommended_action is stored on the classification row, not derived at read time, so the audit trail (Feature 7) always shows exactly what was decided at the moment of classification, even if routing logic changes later.</w:t>
      </w:r>
    </w:p>
    <w:p>
      <w:pPr>
        <w:pStyle w:val="Heading2"/>
        <w:spacing w:after="120" w:before="300"/>
      </w:pPr>
      <w:r>
        <w:t xml:space="preserve">2.3 Idempotency and dedup</w:t>
      </w:r>
    </w:p>
    <w:p>
      <w:pPr>
        <w:spacing w:after="160" w:line="288"/>
      </w:pPr>
      <w:r>
        <w:rPr>
          <w:b w:val="false"/>
          <w:bCs w:val="false"/>
          <w:i w:val="false"/>
          <w:iCs w:val="false"/>
        </w:rPr>
        <w:t xml:space="preserve">Razorpay documents at-least-once webhook delivery, so duplicate deliveries of the same failure event are expected, not an edge case. The dedup key is gateway_transaction_id with a database-level UNIQUE constraint, enforced as an atomic upsert — not a read-then-write check, since two copies of the same webhook can arrive concurrently and both pass a non-atomic check before either writes.</w:t>
      </w:r>
    </w:p>
    <w:p>
      <w:pPr>
        <w:pBdr>
          <w:top w:val="single" w:color="B4B2A9" w:sz="2"/>
          <w:bottom w:val="single" w:color="B4B2A9" w:sz="2"/>
          <w:left w:val="single" w:color="B4B2A9" w:sz="2"/>
          <w:right w:val="single" w:color="B4B2A9" w:sz="2"/>
        </w:pBdr>
        <w:shd w:fill="F1EFE8" w:val="clear"/>
        <w:spacing w:after="200" w:before="100"/>
      </w:pPr>
      <w:r>
        <w:rPr>
          <w:rFonts w:ascii="Consolas" w:cs="Consolas" w:eastAsia="Consolas" w:hAnsi="Consolas"/>
          <w:sz w:val="18"/>
          <w:szCs w:val="18"/>
        </w:rPr>
        <w:t xml:space="preserve">INSERT INTO transactions (gateway_transaction_id, ...)</w:t>
      </w:r>
      <w:r>
        <w:br/>
        <w:t xml:space="preserve"/>
      </w:r>
      <w:r>
        <w:rPr>
          <w:rFonts w:ascii="Consolas" w:cs="Consolas" w:eastAsia="Consolas" w:hAnsi="Consolas"/>
          <w:sz w:val="18"/>
          <w:szCs w:val="18"/>
        </w:rPr>
        <w:t xml:space="preserve">VALUES ($1, ...)</w:t>
      </w:r>
      <w:r>
        <w:br/>
        <w:t xml:space="preserve"/>
      </w:r>
      <w:r>
        <w:rPr>
          <w:rFonts w:ascii="Consolas" w:cs="Consolas" w:eastAsia="Consolas" w:hAnsi="Consolas"/>
          <w:sz w:val="18"/>
          <w:szCs w:val="18"/>
        </w:rPr>
        <w:t xml:space="preserve">ON CONFLICT (gateway_transaction_id) DO NOTHING</w:t>
      </w:r>
      <w:r>
        <w:br/>
        <w:t xml:space="preserve"/>
      </w:r>
      <w:r>
        <w:rPr>
          <w:rFonts w:ascii="Consolas" w:cs="Consolas" w:eastAsia="Consolas" w:hAnsi="Consolas"/>
          <w:sz w:val="18"/>
          <w:szCs w:val="18"/>
        </w:rPr>
        <w:t xml:space="preserve">RETURNING id;</w:t>
      </w:r>
      <w:r>
        <w:br/>
        <w:t xml:space="preserve"/>
      </w:r>
      <w:r>
        <w:rPr>
          <w:rFonts w:ascii="Consolas" w:cs="Consolas" w:eastAsia="Consolas" w:hAnsi="Consolas"/>
          <w:sz w:val="18"/>
          <w:szCs w:val="18"/>
        </w:rPr>
        <w:t xml:space="preserve">-- if no row returned, this event was already ingested: drop it</w:t>
      </w:r>
    </w:p>
    <w:p>
      <w:pPr>
        <w:pStyle w:val="Heading2"/>
        <w:spacing w:after="120" w:before="300"/>
      </w:pPr>
      <w:r>
        <w:t xml:space="preserve">2.4 Layer 1 — deterministic rule service</w:t>
      </w:r>
    </w:p>
    <w:p>
      <w:pPr>
        <w:spacing w:after="160" w:line="288"/>
      </w:pPr>
      <w:r>
        <w:rPr>
          <w:b w:val="false"/>
          <w:bCs w:val="false"/>
          <w:i w:val="false"/>
          <w:iCs w:val="false"/>
        </w:rPr>
        <w:t xml:space="preserve">Pure function, no external calls, sub-millisecond. Runs before Layer 2 is ever invoked.</w:t>
      </w:r>
    </w:p>
    <w:p>
      <w:pPr>
        <w:pBdr>
          <w:top w:val="single" w:color="B4B2A9" w:sz="2"/>
          <w:bottom w:val="single" w:color="B4B2A9" w:sz="2"/>
          <w:left w:val="single" w:color="B4B2A9" w:sz="2"/>
          <w:right w:val="single" w:color="B4B2A9" w:sz="2"/>
        </w:pBdr>
        <w:shd w:fill="F1EFE8" w:val="clear"/>
        <w:spacing w:after="200" w:before="100"/>
      </w:pPr>
      <w:r>
        <w:rPr>
          <w:rFonts w:ascii="Consolas" w:cs="Consolas" w:eastAsia="Consolas" w:hAnsi="Consolas"/>
          <w:sz w:val="18"/>
          <w:szCs w:val="18"/>
        </w:rPr>
        <w:t xml:space="preserve">function classifyLayer1(txn):</w:t>
      </w:r>
      <w:r>
        <w:br/>
        <w:t xml:space="preserve"/>
      </w:r>
      <w:r>
        <w:rPr>
          <w:rFonts w:ascii="Consolas" w:cs="Consolas" w:eastAsia="Consolas" w:hAnsi="Consolas"/>
          <w:sz w:val="18"/>
          <w:szCs w:val="18"/>
        </w:rPr>
        <w:t xml:space="preserve">  if txn.mandate_notification_sent_at is null</w:t>
      </w:r>
      <w:r>
        <w:br/>
        <w:t xml:space="preserve"/>
      </w:r>
      <w:r>
        <w:rPr>
          <w:rFonts w:ascii="Consolas" w:cs="Consolas" w:eastAsia="Consolas" w:hAnsi="Consolas"/>
          <w:sz w:val="18"/>
          <w:szCs w:val="18"/>
        </w:rPr>
        <w:t xml:space="preserve">     or txn.mandate_notification_sent_at &gt;</w:t>
      </w:r>
      <w:r>
        <w:br/>
        <w:t xml:space="preserve"/>
      </w:r>
      <w:r>
        <w:rPr>
          <w:rFonts w:ascii="Consolas" w:cs="Consolas" w:eastAsia="Consolas" w:hAnsi="Consolas"/>
          <w:sz w:val="18"/>
          <w:szCs w:val="18"/>
        </w:rPr>
        <w:t xml:space="preserve">        (txn.debit_scheduled_at - 24h):</w:t>
      </w:r>
      <w:r>
        <w:br/>
        <w:t xml:space="preserve"/>
      </w:r>
      <w:r>
        <w:rPr>
          <w:rFonts w:ascii="Consolas" w:cs="Consolas" w:eastAsia="Consolas" w:hAnsi="Consolas"/>
          <w:sz w:val="18"/>
          <w:szCs w:val="18"/>
        </w:rPr>
        <w:t xml:space="preserve">    return {</w:t>
      </w:r>
      <w:r>
        <w:br/>
        <w:t xml:space="preserve"/>
      </w:r>
      <w:r>
        <w:rPr>
          <w:rFonts w:ascii="Consolas" w:cs="Consolas" w:eastAsia="Consolas" w:hAnsi="Consolas"/>
          <w:sz w:val="18"/>
          <w:szCs w:val="18"/>
        </w:rPr>
        <w:t xml:space="preserve">      cause: 'notification_compliance_block',</w:t>
      </w:r>
      <w:r>
        <w:br/>
        <w:t xml:space="preserve"/>
      </w:r>
      <w:r>
        <w:rPr>
          <w:rFonts w:ascii="Consolas" w:cs="Consolas" w:eastAsia="Consolas" w:hAnsi="Consolas"/>
          <w:sz w:val="18"/>
          <w:szCs w:val="18"/>
        </w:rPr>
        <w:t xml:space="preserve">      confidence: 1.0,</w:t>
      </w:r>
      <w:r>
        <w:br/>
        <w:t xml:space="preserve"/>
      </w:r>
      <w:r>
        <w:rPr>
          <w:rFonts w:ascii="Consolas" w:cs="Consolas" w:eastAsia="Consolas" w:hAnsi="Consolas"/>
          <w:sz w:val="18"/>
          <w:szCs w:val="18"/>
        </w:rPr>
        <w:t xml:space="preserve">      recommended_action: 'silent_reschedule',</w:t>
      </w:r>
      <w:r>
        <w:br/>
        <w:t xml:space="preserve"/>
      </w:r>
      <w:r>
        <w:rPr>
          <w:rFonts w:ascii="Consolas" w:cs="Consolas" w:eastAsia="Consolas" w:hAnsi="Consolas"/>
          <w:sz w:val="18"/>
          <w:szCs w:val="18"/>
        </w:rPr>
        <w:t xml:space="preserve">      layer: 1</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return null  // falls through to Layer 2</w:t>
      </w:r>
    </w:p>
    <w:p>
      <w:pPr>
        <w:shd w:fill="FAEEDA" w:val="clear"/>
        <w:spacing w:after="200" w:before="120"/>
        <w:ind w:left="100" w:right="100"/>
      </w:pPr>
      <w:r>
        <w:rPr>
          <w:b/>
          <w:bCs/>
          <w:color w:val="633806"/>
        </w:rPr>
        <w:t xml:space="preserve">Open issue: </w:t>
      </w:r>
      <w:r>
        <w:rPr>
          <w:color w:val="633806"/>
        </w:rPr>
        <w:t xml:space="preserve">mandate_notification_sent_at being null is treated as proof the notification was missed. If a bank simply doesn't report that field, a data gap gets misread as a compliance violation. Field coverage per bank should be audited before this rule is trusted as ground truth.</w:t>
      </w:r>
    </w:p>
    <w:p>
      <w:pPr>
        <w:pStyle w:val="Heading2"/>
        <w:spacing w:after="120" w:before="300"/>
      </w:pPr>
      <w:r>
        <w:t xml:space="preserve">2.5 Layer 2 — LLM orchestration</w:t>
      </w:r>
    </w:p>
    <w:p>
      <w:pPr>
        <w:spacing w:after="160" w:line="288"/>
      </w:pPr>
      <w:r>
        <w:rPr>
          <w:b w:val="false"/>
          <w:bCs w:val="false"/>
          <w:i w:val="false"/>
          <w:iCs w:val="false"/>
        </w:rPr>
        <w:t xml:space="preserve">Layer 2 wraps the model call with the operational handling a raw prompt-in/JSON-out call does not provide on its own:</w:t>
      </w:r>
    </w:p>
    <w:p>
      <w:pPr>
        <w:pStyle w:val="ListParagraph"/>
        <w:numPr>
          <w:ilvl w:val="0"/>
          <w:numId w:val="1"/>
        </w:numPr>
        <w:spacing w:after="80" w:line="276"/>
      </w:pPr>
      <w:r>
        <w:t xml:space="preserve">Schema validation on the model's response; reject and retry once on malformed JSON or an out-of-enum cause value.</w:t>
      </w:r>
    </w:p>
    <w:p>
      <w:pPr>
        <w:pStyle w:val="ListParagraph"/>
        <w:numPr>
          <w:ilvl w:val="0"/>
          <w:numId w:val="1"/>
        </w:numPr>
        <w:spacing w:after="80" w:line="276"/>
      </w:pPr>
      <w:r>
        <w:t xml:space="preserve">Timeout (e.g. 3–5s) with a defined fallback path if the model does not respond in time.</w:t>
      </w:r>
    </w:p>
    <w:p>
      <w:pPr>
        <w:pStyle w:val="ListParagraph"/>
        <w:numPr>
          <w:ilvl w:val="0"/>
          <w:numId w:val="1"/>
        </w:numPr>
        <w:spacing w:after="80" w:line="276"/>
      </w:pPr>
      <w:r>
        <w:t xml:space="preserve">Confidence gate: below threshold (e.g. 0.6), override recommended_action to the least-aggressive mapped action for that cause rather than trusting the model's own recommendation.</w:t>
      </w:r>
    </w:p>
    <w:p>
      <w:pPr>
        <w:pStyle w:val="ListParagraph"/>
        <w:numPr>
          <w:ilvl w:val="0"/>
          <w:numId w:val="1"/>
        </w:numPr>
        <w:spacing w:after="80" w:line="276"/>
      </w:pPr>
      <w:r>
        <w:t xml:space="preserve">Every call and its raw + validated output logged, keyed to transaction_id, for the audit trail.</w:t>
      </w:r>
    </w:p>
    <w:p>
      <w:pPr>
        <w:shd w:fill="FAEEDA" w:val="clear"/>
        <w:spacing w:after="200" w:before="120"/>
        <w:ind w:left="100" w:right="100"/>
      </w:pPr>
      <w:r>
        <w:rPr>
          <w:b/>
          <w:bCs/>
          <w:color w:val="633806"/>
        </w:rPr>
        <w:t xml:space="preserve">Open issue: </w:t>
      </w:r>
      <w:r>
        <w:rPr>
          <w:color w:val="633806"/>
        </w:rPr>
        <w:t xml:space="preserve">The doc doesn't yet fix what 'least aggressive action' means per cause. Suggested fixed mapping: soft_decline → retry_scheduled (longest interval); hard_decline → do_not_retry; gateway_fault → retry_scheduled; fraud_filter_block → do_not_retry (never auto-reverse on low confidence). This should be a lookup table, not a runtime judgment call.</w:t>
      </w:r>
    </w:p>
    <w:p>
      <w:pPr>
        <w:pStyle w:val="Heading1"/>
        <w:spacing w:after="160" w:before="400"/>
      </w:pPr>
      <w:r>
        <w:t xml:space="preserve">3. AI / LLM Component</w:t>
      </w:r>
    </w:p>
    <w:p>
      <w:pPr>
        <w:pStyle w:val="Heading2"/>
        <w:spacing w:after="120" w:before="300"/>
      </w:pPr>
      <w:r>
        <w:t xml:space="preserve">3.1 Model &amp; call shape</w:t>
      </w:r>
    </w:p>
    <w:p>
      <w:pPr>
        <w:spacing w:after="160" w:line="288"/>
      </w:pPr>
      <w:r>
        <w:rPr>
          <w:b w:val="false"/>
          <w:bCs w:val="false"/>
          <w:i w:val="false"/>
          <w:iCs w:val="false"/>
        </w:rPr>
        <w:t xml:space="preserve">A single call per fall-through transaction, structured output enforced via tool-calling / JSON schema (not free-text parsing), temperature set low (0–0.2) since this is a classification task, not a generative one — determinism matters more than variety here.</w:t>
      </w:r>
    </w:p>
    <w:p>
      <w:pPr>
        <w:pStyle w:val="Heading2"/>
        <w:spacing w:after="120" w:before="300"/>
      </w:pPr>
      <w:r>
        <w:t xml:space="preserve">3.2 System prompt structure</w:t>
      </w:r>
    </w:p>
    <w:p>
      <w:pPr>
        <w:pBdr>
          <w:top w:val="single" w:color="B4B2A9" w:sz="2"/>
          <w:bottom w:val="single" w:color="B4B2A9" w:sz="2"/>
          <w:left w:val="single" w:color="B4B2A9" w:sz="2"/>
          <w:right w:val="single" w:color="B4B2A9" w:sz="2"/>
        </w:pBdr>
        <w:shd w:fill="F1EFE8" w:val="clear"/>
        <w:spacing w:after="200" w:before="100"/>
      </w:pPr>
      <w:r>
        <w:rPr>
          <w:rFonts w:ascii="Consolas" w:cs="Consolas" w:eastAsia="Consolas" w:hAnsi="Consolas"/>
          <w:sz w:val="18"/>
          <w:szCs w:val="18"/>
        </w:rPr>
        <w:t xml:space="preserve">SYSTEM:</w:t>
      </w:r>
      <w:r>
        <w:br/>
        <w:t xml:space="preserve"/>
      </w:r>
      <w:r>
        <w:rPr>
          <w:rFonts w:ascii="Consolas" w:cs="Consolas" w:eastAsia="Consolas" w:hAnsi="Consolas"/>
          <w:sz w:val="18"/>
          <w:szCs w:val="18"/>
        </w:rPr>
        <w:t xml:space="preserve">You classify a failed payment into exactly one cause.</w:t>
      </w:r>
      <w:r>
        <w:br/>
        <w:t xml:space="preserve"/>
      </w:r>
      <w:r>
        <w:rPr>
          <w:rFonts w:ascii="Consolas" w:cs="Consolas" w:eastAsia="Consolas" w:hAnsi="Consolas"/>
          <w:sz w:val="18"/>
          <w:szCs w:val="18"/>
        </w:rPr>
        <w:t xml:space="preserve">Causes: soft_decline, hard_decline, gateway_fault,</w:t>
      </w:r>
      <w:r>
        <w:br/>
        <w:t xml:space="preserve"/>
      </w:r>
      <w:r>
        <w:rPr>
          <w:rFonts w:ascii="Consolas" w:cs="Consolas" w:eastAsia="Consolas" w:hAnsi="Consolas"/>
          <w:sz w:val="18"/>
          <w:szCs w:val="18"/>
        </w:rPr>
        <w:t xml:space="preserve">        fraud_filter_block</w:t>
      </w:r>
      <w:r>
        <w:br/>
        <w:t xml:space="preserve"/>
      </w:r>
      <w:r>
        <w:rPr>
          <w:rFonts w:ascii="Consolas" w:cs="Consolas" w:eastAsia="Consolas" w:hAnsi="Consolas"/>
          <w:sz w:val="18"/>
          <w:szCs w:val="18"/>
        </w:rPr>
        <w:t xml:space="preserve">(notification_compliance_block is never assigned here —</w:t>
      </w:r>
      <w:r>
        <w:br/>
        <w:t xml:space="preserve"/>
      </w:r>
      <w:r>
        <w:rPr>
          <w:rFonts w:ascii="Consolas" w:cs="Consolas" w:eastAsia="Consolas" w:hAnsi="Consolas"/>
          <w:sz w:val="18"/>
          <w:szCs w:val="18"/>
        </w:rPr>
        <w:t xml:space="preserve"> it is handled deterministically upstream)</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Return only the fields in the schema. reasoning must be</w:t>
      </w:r>
      <w:r>
        <w:br/>
        <w:t xml:space="preserve"/>
      </w:r>
      <w:r>
        <w:rPr>
          <w:rFonts w:ascii="Consolas" w:cs="Consolas" w:eastAsia="Consolas" w:hAnsi="Consolas"/>
          <w:sz w:val="18"/>
          <w:szCs w:val="18"/>
        </w:rPr>
        <w:t xml:space="preserve">1-2 plain-language sentences a non-technical support agent</w:t>
      </w:r>
      <w:r>
        <w:br/>
        <w:t xml:space="preserve"/>
      </w:r>
      <w:r>
        <w:rPr>
          <w:rFonts w:ascii="Consolas" w:cs="Consolas" w:eastAsia="Consolas" w:hAnsi="Consolas"/>
          <w:sz w:val="18"/>
          <w:szCs w:val="18"/>
        </w:rPr>
        <w:t xml:space="preserve">could read aloud to a customer.</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USER (per transaction):</w:t>
      </w:r>
      <w:r>
        <w:br/>
        <w:t xml:space="preserve"/>
      </w:r>
      <w:r>
        <w:rPr>
          <w:rFonts w:ascii="Consolas" w:cs="Consolas" w:eastAsia="Consolas" w:hAnsi="Consolas"/>
          <w:sz w:val="18"/>
          <w:szCs w:val="18"/>
        </w:rPr>
        <w:t xml:space="preserve">status_code, npci_response_code, bank_response_code,</w:t>
      </w:r>
      <w:r>
        <w:br/>
        <w:t xml:space="preserve"/>
      </w:r>
      <w:r>
        <w:rPr>
          <w:rFonts w:ascii="Consolas" w:cs="Consolas" w:eastAsia="Consolas" w:hAnsi="Consolas"/>
          <w:sz w:val="18"/>
          <w:szCs w:val="18"/>
        </w:rPr>
        <w:t xml:space="preserve">retry_count_so_far, amount, customer_bank,</w:t>
      </w:r>
      <w:r>
        <w:br/>
        <w:t xml:space="preserve"/>
      </w:r>
      <w:r>
        <w:rPr>
          <w:rFonts w:ascii="Consolas" w:cs="Consolas" w:eastAsia="Consolas" w:hAnsi="Consolas"/>
          <w:sz w:val="18"/>
          <w:szCs w:val="18"/>
        </w:rPr>
        <w:t xml:space="preserve">time_since_last_failure</w:t>
      </w:r>
    </w:p>
    <w:p>
      <w:pPr>
        <w:pStyle w:val="Heading2"/>
        <w:spacing w:after="120" w:before="300"/>
      </w:pPr>
      <w:r>
        <w:t xml:space="preserve">3.3 Output schema (enforced, not requested)</w:t>
      </w:r>
    </w:p>
    <w:p>
      <w:pPr>
        <w:pBdr>
          <w:top w:val="single" w:color="B4B2A9" w:sz="2"/>
          <w:bottom w:val="single" w:color="B4B2A9" w:sz="2"/>
          <w:left w:val="single" w:color="B4B2A9" w:sz="2"/>
          <w:right w:val="single" w:color="B4B2A9" w:sz="2"/>
        </w:pBdr>
        <w:shd w:fill="F1EFE8" w:val="clear"/>
        <w:spacing w:after="200" w:before="100"/>
      </w:pP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"cause": "soft_decline | hard_decline | gateway_fault</w:t>
      </w:r>
      <w:r>
        <w:br/>
        <w:t xml:space="preserve"/>
      </w:r>
      <w:r>
        <w:rPr>
          <w:rFonts w:ascii="Consolas" w:cs="Consolas" w:eastAsia="Consolas" w:hAnsi="Consolas"/>
          <w:sz w:val="18"/>
          <w:szCs w:val="18"/>
        </w:rPr>
        <w:t xml:space="preserve">            | fraud_filter_block",</w:t>
      </w:r>
      <w:r>
        <w:br/>
        <w:t xml:space="preserve"/>
      </w:r>
      <w:r>
        <w:rPr>
          <w:rFonts w:ascii="Consolas" w:cs="Consolas" w:eastAsia="Consolas" w:hAnsi="Consolas"/>
          <w:sz w:val="18"/>
          <w:szCs w:val="18"/>
        </w:rPr>
        <w:t xml:space="preserve">  "confidence": number,        // 0.0 - 1.0</w:t>
      </w:r>
      <w:r>
        <w:br/>
        <w:t xml:space="preserve"/>
      </w:r>
      <w:r>
        <w:rPr>
          <w:rFonts w:ascii="Consolas" w:cs="Consolas" w:eastAsia="Consolas" w:hAnsi="Consolas"/>
          <w:sz w:val="18"/>
          <w:szCs w:val="18"/>
        </w:rPr>
        <w:t xml:space="preserve">  "reasoning": string,         // 1-2 sentences</w:t>
      </w:r>
      <w:r>
        <w:br/>
        <w:t xml:space="preserve"/>
      </w:r>
      <w:r>
        <w:rPr>
          <w:rFonts w:ascii="Consolas" w:cs="Consolas" w:eastAsia="Consolas" w:hAnsi="Consolas"/>
          <w:sz w:val="18"/>
          <w:szCs w:val="18"/>
        </w:rPr>
        <w:t xml:space="preserve">  "recommended_action": "retry_now | retry_scheduled</w:t>
      </w:r>
      <w:r>
        <w:br/>
        <w:t xml:space="preserve"/>
      </w:r>
      <w:r>
        <w:rPr>
          <w:rFonts w:ascii="Consolas" w:cs="Consolas" w:eastAsia="Consolas" w:hAnsi="Consolas"/>
          <w:sz w:val="18"/>
          <w:szCs w:val="18"/>
        </w:rPr>
        <w:t xml:space="preserve">                          | do_not_retry</w:t>
      </w:r>
      <w:r>
        <w:br/>
        <w:t xml:space="preserve"/>
      </w:r>
      <w:r>
        <w:rPr>
          <w:rFonts w:ascii="Consolas" w:cs="Consolas" w:eastAsia="Consolas" w:hAnsi="Consolas"/>
          <w:sz w:val="18"/>
          <w:szCs w:val="18"/>
        </w:rPr>
        <w:t xml:space="preserve">                          | reverify_and_reverse"</w:t>
      </w:r>
      <w:r>
        <w:br/>
        <w:t xml:space="preserve"/>
      </w:r>
      <w:r>
        <w:rPr>
          <w:rFonts w:ascii="Consolas" w:cs="Consolas" w:eastAsia="Consolas" w:hAnsi="Consolas"/>
          <w:sz w:val="18"/>
          <w:szCs w:val="18"/>
        </w:rPr>
        <w:t xml:space="preserve">}</w:t>
      </w:r>
    </w:p>
    <w:p>
      <w:pPr>
        <w:pStyle w:val="Heading2"/>
        <w:spacing w:after="120" w:before="300"/>
      </w:pPr>
      <w:r>
        <w:t xml:space="preserve">3.4 Few-shot grounding</w:t>
      </w:r>
    </w:p>
    <w:p>
      <w:pPr>
        <w:spacing w:after="160" w:line="288"/>
      </w:pPr>
      <w:r>
        <w:rPr>
          <w:b w:val="false"/>
          <w:bCs w:val="false"/>
          <w:i w:val="false"/>
          <w:iCs w:val="false"/>
        </w:rPr>
        <w:t xml:space="preserve">Given that bank/NPCI response codes are inconsistent across issuers, the prompt should include a small set of worked examples per cause covering the messiest real codes (ambiguous timeout codes, bank-specific fraud-flag codes) rather than only the clean textbook cases — that's precisely the case a fixed if/else table fails on, and where few-shot grounding earns its keep.</w:t>
      </w:r>
    </w:p>
    <w:p>
      <w:pPr>
        <w:pStyle w:val="Heading2"/>
        <w:spacing w:after="120" w:before="300"/>
      </w:pPr>
      <w:r>
        <w:t xml:space="preserve">3.5 Guardrails</w:t>
      </w:r>
    </w:p>
    <w:p>
      <w:pPr>
        <w:pStyle w:val="ListParagraph"/>
        <w:numPr>
          <w:ilvl w:val="0"/>
          <w:numId w:val="1"/>
        </w:numPr>
        <w:spacing w:after="80" w:line="276"/>
      </w:pPr>
      <w:r>
        <w:t xml:space="preserve">Reject responses where cause isn't one of the four allowed values — retry once, then fall back to the safest default and flag for manual review.</w:t>
      </w:r>
    </w:p>
    <w:p>
      <w:pPr>
        <w:pStyle w:val="ListParagraph"/>
        <w:numPr>
          <w:ilvl w:val="0"/>
          <w:numId w:val="1"/>
        </w:numPr>
        <w:spacing w:after="80" w:line="276"/>
      </w:pPr>
      <w:r>
        <w:t xml:space="preserve">Cap reasoning length server-side; don't let free text balloon into something unsuitable for the audit trail UI.</w:t>
      </w:r>
    </w:p>
    <w:p>
      <w:pPr>
        <w:pStyle w:val="ListParagraph"/>
        <w:numPr>
          <w:ilvl w:val="0"/>
          <w:numId w:val="1"/>
        </w:numPr>
        <w:spacing w:after="80" w:line="276"/>
      </w:pPr>
      <w:r>
        <w:t xml:space="preserve">Never let the model see or return anything beyond the defined schema — no chain-of-thought leakage into the stored reasoning field.</w:t>
      </w:r>
    </w:p>
    <w:p>
      <w:pPr>
        <w:shd w:fill="FAEEDA" w:val="clear"/>
        <w:spacing w:after="200" w:before="120"/>
        <w:ind w:left="100" w:right="100"/>
      </w:pPr>
      <w:r>
        <w:rPr>
          <w:b/>
          <w:bCs/>
          <w:color w:val="633806"/>
        </w:rPr>
        <w:t xml:space="preserve">Open issue: </w:t>
      </w:r>
      <w:r>
        <w:rPr>
          <w:color w:val="633806"/>
        </w:rPr>
        <w:t xml:space="preserve">Fields like customer_bank and amount are financial data in an RBI-governed context. Confirm data-residency and third-party-API acceptability for this workload before committing to a hosted LLM API versus a self-hosted model — this should be settled before build, not discovered at review.</w:t>
      </w:r>
    </w:p>
    <w:p>
      <w:pPr>
        <w:pStyle w:val="Heading1"/>
        <w:spacing w:after="160" w:before="400"/>
      </w:pPr>
      <w:r>
        <w:t xml:space="preserve">4. Data Pipeline</w:t>
      </w:r>
    </w:p>
    <w:p>
      <w:pPr>
        <w:pStyle w:val="Heading2"/>
        <w:spacing w:after="120" w:before="300"/>
      </w:pPr>
      <w:r>
        <w:t xml:space="preserve">4.1 Ingestion flow</w:t>
      </w:r>
    </w:p>
    <w:p>
      <w:pPr>
        <w:spacing w:after="160" w:line="288"/>
      </w:pPr>
      <w:r>
        <w:rPr>
          <w:b w:val="false"/>
          <w:bCs w:val="false"/>
          <w:i w:val="false"/>
          <w:iCs w:val="false"/>
        </w:rPr>
        <w:t xml:space="preserve">Webhook → payload validation → dedup upsert → queue → classification worker. The queue decouples ingestion (must be fast, always-accept) from classification (can be slower, can retry) so a slow LLM call never causes webhook timeouts or missed deliveries.</w:t>
      </w:r>
    </w:p>
    <w:p>
      <w:pPr>
        <w:pStyle w:val="Heading2"/>
        <w:spacing w:after="120" w:before="300"/>
      </w:pPr>
      <w:r>
        <w:t xml:space="preserve">4.2 Feature enrichment</w:t>
      </w:r>
    </w:p>
    <w:p>
      <w:pPr>
        <w:spacing w:after="160" w:line="288"/>
      </w:pPr>
      <w:r>
        <w:rPr>
          <w:b w:val="false"/>
          <w:bCs w:val="false"/>
          <w:i w:val="false"/>
          <w:iCs w:val="false"/>
        </w:rPr>
        <w:t xml:space="preserve">Before a transaction reaches Layer 2, the pipeline enriches the raw webhook payload with:</w:t>
      </w:r>
    </w:p>
    <w:p>
      <w:pPr>
        <w:pStyle w:val="ListParagraph"/>
        <w:numPr>
          <w:ilvl w:val="0"/>
          <w:numId w:val="1"/>
        </w:numPr>
        <w:spacing w:after="80" w:line="276"/>
      </w:pPr>
      <w:r>
        <w:t xml:space="preserve">time_since_last_failure — computed by joining against prior transactions for the same mandate/customer.</w:t>
      </w:r>
    </w:p>
    <w:p>
      <w:pPr>
        <w:pStyle w:val="ListParagraph"/>
        <w:numPr>
          <w:ilvl w:val="0"/>
          <w:numId w:val="1"/>
        </w:numPr>
        <w:spacing w:after="80" w:line="276"/>
      </w:pPr>
      <w:r>
        <w:t xml:space="preserve">retry_count_so_far — read from the transactions table, not recomputed from logs.</w:t>
      </w:r>
    </w:p>
    <w:p>
      <w:pPr>
        <w:pStyle w:val="ListParagraph"/>
        <w:numPr>
          <w:ilvl w:val="0"/>
          <w:numId w:val="1"/>
        </w:numPr>
        <w:spacing w:after="80" w:line="276"/>
      </w:pPr>
      <w:r>
        <w:t xml:space="preserve">Normalized bank_response_code — see Data Cleaning, section 5.</w:t>
      </w:r>
    </w:p>
    <w:p>
      <w:pPr>
        <w:pStyle w:val="Heading2"/>
        <w:spacing w:after="120" w:before="300"/>
      </w:pPr>
      <w:r>
        <w:t xml:space="preserve">4.3 Synthetic dataset generation (for validation)</w:t>
      </w:r>
    </w:p>
    <w:p>
      <w:pPr>
        <w:spacing w:after="160" w:line="288"/>
      </w:pPr>
      <w:r>
        <w:rPr>
          <w:b w:val="false"/>
          <w:bCs w:val="false"/>
          <w:i w:val="false"/>
          <w:iCs w:val="false"/>
        </w:rPr>
        <w:t xml:space="preserve">Since no real production data exists yet, the validation set is generated synthetically. Recommended approach:</w:t>
      </w:r>
    </w:p>
    <w:p>
      <w:pPr>
        <w:pStyle w:val="ListParagraph"/>
        <w:numPr>
          <w:ilvl w:val="0"/>
          <w:numId w:val="1"/>
        </w:numPr>
        <w:spacing w:after="80" w:line="276"/>
      </w:pPr>
      <w:r>
        <w:t xml:space="preserve">Sample realistic status/response-code combinations per cause from the public datasets in section 6, adapted to Razorpay's five-cause taxonomy rather than used as-is (those datasets label fraud vs. not-fraud, not this taxonomy — they inform realistic feature distributions, not ground-truth labels).</w:t>
      </w:r>
    </w:p>
    <w:p>
      <w:pPr>
        <w:pStyle w:val="ListParagraph"/>
        <w:numPr>
          <w:ilvl w:val="0"/>
          <w:numId w:val="1"/>
        </w:numPr>
        <w:spacing w:after="80" w:line="276"/>
      </w:pPr>
      <w:r>
        <w:t xml:space="preserve">Match the real-world skew described in the Feature 1 report: soft declines dominant (70–90% of card-not-present failures), with the remaining causes distributed across the rest.</w:t>
      </w:r>
    </w:p>
    <w:p>
      <w:pPr>
        <w:pStyle w:val="ListParagraph"/>
        <w:numPr>
          <w:ilvl w:val="0"/>
          <w:numId w:val="1"/>
        </w:numPr>
        <w:spacing w:after="80" w:line="276"/>
      </w:pPr>
      <w:r>
        <w:t xml:space="preserve">Deliberately include messy/ambiguous cases (conflicting signals, unfamiliar bank codes) — an all-clean synthetic set will overstate accuracy.</w:t>
      </w:r>
    </w:p>
    <w:p>
      <w:pPr>
        <w:pStyle w:val="ListParagraph"/>
        <w:numPr>
          <w:ilvl w:val="0"/>
          <w:numId w:val="1"/>
        </w:numPr>
        <w:spacing w:after="80" w:line="276"/>
      </w:pPr>
      <w:r>
        <w:t xml:space="preserve">Tag every synthetic transaction with a ground-truth cause at generation time, before it ever reaches the classifier.</w:t>
      </w:r>
    </w:p>
    <w:p>
      <w:pPr>
        <w:pStyle w:val="Heading2"/>
        <w:spacing w:after="120" w:before="300"/>
      </w:pPr>
      <w:r>
        <w:t xml:space="preserve">4.4 Validation harness</w:t>
      </w:r>
    </w:p>
    <w:p>
      <w:pPr>
        <w:spacing w:after="160" w:line="288"/>
      </w:pPr>
      <w:r>
        <w:rPr>
          <w:b w:val="false"/>
          <w:bCs w:val="false"/>
          <w:i w:val="false"/>
          <w:iCs w:val="false"/>
        </w:rPr>
        <w:t xml:space="preserve">Run the full pipeline (Layer 1 + Layer 2) against the synthetic set, compare classifier output to the ground-truth tag, and report per-cause accuracy — not only an aggregate number, since an aggregate figure hides poor performance on the minority causes.</w:t>
      </w:r>
    </w:p>
    <w:p>
      <w:pPr>
        <w:shd w:fill="FAEEDA" w:val="clear"/>
        <w:spacing w:after="200" w:before="120"/>
        <w:ind w:left="100" w:right="100"/>
      </w:pPr>
      <w:r>
        <w:rPr>
          <w:b/>
          <w:bCs/>
          <w:color w:val="633806"/>
        </w:rPr>
        <w:t xml:space="preserve">Open issue: </w:t>
      </w:r>
      <w:r>
        <w:rPr>
          <w:color w:val="633806"/>
        </w:rPr>
        <w:t xml:space="preserve">50 synthetic transactions split across 5 causes with a realistic skew leaves the minority causes (hard decline, gateway fault, fraud block, compliance block) with only a handful of test cases each. Treat the resulting per-cause accuracy as directional for a demo, not as a statistically robust claim.</w:t>
      </w:r>
    </w:p>
    <w:p>
      <w:pPr>
        <w:pStyle w:val="Heading1"/>
        <w:spacing w:after="160" w:before="400"/>
      </w:pPr>
      <w:r>
        <w:t xml:space="preserve">5. Data Cleaning</w:t>
      </w:r>
    </w:p>
    <w:p>
      <w:pPr>
        <w:spacing w:after="160" w:line="288"/>
      </w:pPr>
      <w:r>
        <w:rPr>
          <w:b w:val="false"/>
          <w:bCs w:val="false"/>
          <w:i w:val="false"/>
          <w:iCs w:val="false"/>
        </w:rPr>
        <w:t xml:space="preserve">Cleaning happens before Layer 2 ever sees a transaction, since a fixed if/else table breaking on inconsistent codes was the exact problem an LLM classifier is meant to route around — but the LLM still performs worse on obviously-malformed input than on cleaned input.</w:t>
      </w:r>
    </w:p>
    <w:p>
      <w:pPr>
        <w:pStyle w:val="Heading2"/>
        <w:spacing w:after="120" w:before="300"/>
      </w:pPr>
      <w:r>
        <w:t xml:space="preserve">5.1 Field-level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E6F1FB" w:val="clear"/>
            <w:tcMar>
              <w:top w:type="dxa" w:w="80"/>
              <w:left w:type="dxa" w:w="100"/>
              <w:bottom w:type="dxa" w:w="80"/>
              <w:right w:type="dxa" w:w="100"/>
            </w:tcMar>
          </w:tcPr>
          <w:p>
            <w:r>
              <w:rPr>
                <w:b/>
                <w:bCs/>
                <w:sz w:val="20"/>
                <w:szCs w:val="20"/>
              </w:rPr>
              <w:t xml:space="preserve">Field</w:t>
            </w:r>
          </w:p>
        </w:tc>
        <w:tc>
          <w:tcPr>
            <w:tcW w:type="dxa" w:w="6760"/>
            <w:shd w:fill="E6F1FB" w:val="clear"/>
            <w:tcMar>
              <w:top w:type="dxa" w:w="80"/>
              <w:left w:type="dxa" w:w="100"/>
              <w:bottom w:type="dxa" w:w="80"/>
              <w:right w:type="dxa" w:w="100"/>
            </w:tcMar>
          </w:tcPr>
          <w:p>
            <w:r>
              <w:rPr>
                <w:b/>
                <w:bCs/>
                <w:sz w:val="20"/>
                <w:szCs w:val="20"/>
              </w:rPr>
              <w:t xml:space="preserve">Cleaning rule</w:t>
            </w:r>
          </w:p>
        </w:tc>
      </w:tr>
      <w:tr>
        <w:tc>
          <w:tcPr>
            <w:tcW w:type="dxa" w:w="2000"/>
            <w:tcMar>
              <w:top w:type="dxa" w:w="80"/>
              <w:left w:type="dxa" w:w="100"/>
              <w:bottom w:type="dxa" w:w="80"/>
              <w:right w:type="dxa" w:w="100"/>
            </w:tcMar>
          </w:tcPr>
          <w:p>
            <w:r>
              <w:rPr>
                <w:b w:val="false"/>
                <w:bCs w:val="false"/>
                <w:sz w:val="20"/>
                <w:szCs w:val="20"/>
              </w:rPr>
              <w:t xml:space="preserve">status_code</w:t>
            </w:r>
          </w:p>
        </w:tc>
        <w:tc>
          <w:tcPr>
            <w:tcW w:type="dxa" w:w="2000"/>
            <w:tcMar>
              <w:top w:type="dxa" w:w="80"/>
              <w:left w:type="dxa" w:w="100"/>
              <w:bottom w:type="dxa" w:w="80"/>
              <w:right w:type="dxa" w:w="100"/>
            </w:tcMar>
          </w:tcPr>
          <w:p>
            <w:r>
              <w:rPr>
                <w:b w:val="false"/>
                <w:bCs w:val="false"/>
                <w:sz w:val="20"/>
                <w:szCs w:val="20"/>
              </w:rPr>
              <w:t xml:space="preserve">Uppercase, trim whitespace; map known gateway-specific synonyms to a canonical set (e.g. TIMED_OUT → TIMEOUT)</w:t>
            </w:r>
          </w:p>
        </w:tc>
      </w:tr>
      <w:tr>
        <w:tc>
          <w:tcPr>
            <w:tcW w:type="dxa" w:w="2000"/>
            <w:tcMar>
              <w:top w:type="dxa" w:w="80"/>
              <w:left w:type="dxa" w:w="100"/>
              <w:bottom w:type="dxa" w:w="80"/>
              <w:right w:type="dxa" w:w="100"/>
            </w:tcMar>
          </w:tcPr>
          <w:p>
            <w:r>
              <w:rPr>
                <w:b w:val="false"/>
                <w:bCs w:val="false"/>
                <w:sz w:val="20"/>
                <w:szCs w:val="20"/>
              </w:rPr>
              <w:t xml:space="preserve">bank_response_code / npci_response_code</w:t>
            </w:r>
          </w:p>
        </w:tc>
        <w:tc>
          <w:tcPr>
            <w:tcW w:type="dxa" w:w="2000"/>
            <w:tcMar>
              <w:top w:type="dxa" w:w="80"/>
              <w:left w:type="dxa" w:w="100"/>
              <w:bottom w:type="dxa" w:w="80"/>
              <w:right w:type="dxa" w:w="100"/>
            </w:tcMar>
          </w:tcPr>
          <w:p>
            <w:r>
              <w:rPr>
                <w:b w:val="false"/>
                <w:bCs w:val="false"/>
                <w:sz w:val="20"/>
                <w:szCs w:val="20"/>
              </w:rPr>
              <w:t xml:space="preserve">Normalize against a maintained bank-code lookup table; unmapped codes are passed through as-is and flagged, not dropped</w:t>
            </w:r>
          </w:p>
        </w:tc>
      </w:tr>
      <w:tr>
        <w:tc>
          <w:tcPr>
            <w:tcW w:type="dxa" w:w="2000"/>
            <w:tcMar>
              <w:top w:type="dxa" w:w="80"/>
              <w:left w:type="dxa" w:w="100"/>
              <w:bottom w:type="dxa" w:w="80"/>
              <w:right w:type="dxa" w:w="100"/>
            </w:tcMar>
          </w:tcPr>
          <w:p>
            <w:r>
              <w:rPr>
                <w:b w:val="false"/>
                <w:bCs w:val="false"/>
                <w:sz w:val="20"/>
                <w:szCs w:val="20"/>
              </w:rPr>
              <w:t xml:space="preserve">amount</w:t>
            </w:r>
          </w:p>
        </w:tc>
        <w:tc>
          <w:tcPr>
            <w:tcW w:type="dxa" w:w="2000"/>
            <w:tcMar>
              <w:top w:type="dxa" w:w="80"/>
              <w:left w:type="dxa" w:w="100"/>
              <w:bottom w:type="dxa" w:w="80"/>
              <w:right w:type="dxa" w:w="100"/>
            </w:tcMar>
          </w:tcPr>
          <w:p>
            <w:r>
              <w:rPr>
                <w:b w:val="false"/>
                <w:bCs w:val="false"/>
                <w:sz w:val="20"/>
                <w:szCs w:val="20"/>
              </w:rPr>
              <w:t xml:space="preserve">Parse to a fixed-precision numeric; reject rather than silently coerce on parse failure</w:t>
            </w:r>
          </w:p>
        </w:tc>
      </w:tr>
      <w:tr>
        <w:tc>
          <w:tcPr>
            <w:tcW w:type="dxa" w:w="2000"/>
            <w:tcMar>
              <w:top w:type="dxa" w:w="80"/>
              <w:left w:type="dxa" w:w="100"/>
              <w:bottom w:type="dxa" w:w="80"/>
              <w:right w:type="dxa" w:w="100"/>
            </w:tcMar>
          </w:tcPr>
          <w:p>
            <w:r>
              <w:rPr>
                <w:b w:val="false"/>
                <w:bCs w:val="false"/>
                <w:sz w:val="20"/>
                <w:szCs w:val="20"/>
              </w:rPr>
              <w:t xml:space="preserve">customer_bank</w:t>
            </w:r>
          </w:p>
        </w:tc>
        <w:tc>
          <w:tcPr>
            <w:tcW w:type="dxa" w:w="2000"/>
            <w:tcMar>
              <w:top w:type="dxa" w:w="80"/>
              <w:left w:type="dxa" w:w="100"/>
              <w:bottom w:type="dxa" w:w="80"/>
              <w:right w:type="dxa" w:w="100"/>
            </w:tcMar>
          </w:tcPr>
          <w:p>
            <w:r>
              <w:rPr>
                <w:b w:val="false"/>
                <w:bCs w:val="false"/>
                <w:sz w:val="20"/>
                <w:szCs w:val="20"/>
              </w:rPr>
              <w:t xml:space="preserve">Map free-text/short-code bank names to a canonical bank identifier</w:t>
            </w:r>
          </w:p>
        </w:tc>
      </w:tr>
      <w:tr>
        <w:tc>
          <w:tcPr>
            <w:tcW w:type="dxa" w:w="2000"/>
            <w:tcMar>
              <w:top w:type="dxa" w:w="80"/>
              <w:left w:type="dxa" w:w="100"/>
              <w:bottom w:type="dxa" w:w="80"/>
              <w:right w:type="dxa" w:w="100"/>
            </w:tcMar>
          </w:tcPr>
          <w:p>
            <w:r>
              <w:rPr>
                <w:b w:val="false"/>
                <w:bCs w:val="false"/>
                <w:sz w:val="20"/>
                <w:szCs w:val="20"/>
              </w:rPr>
              <w:t xml:space="preserve">mandate_notification_sent_at</w:t>
            </w:r>
          </w:p>
        </w:tc>
        <w:tc>
          <w:tcPr>
            <w:tcW w:type="dxa" w:w="2000"/>
            <w:tcMar>
              <w:top w:type="dxa" w:w="80"/>
              <w:left w:type="dxa" w:w="100"/>
              <w:bottom w:type="dxa" w:w="80"/>
              <w:right w:type="dxa" w:w="100"/>
            </w:tcMar>
          </w:tcPr>
          <w:p>
            <w:r>
              <w:rPr>
                <w:b w:val="false"/>
                <w:bCs w:val="false"/>
                <w:sz w:val="20"/>
                <w:szCs w:val="20"/>
              </w:rPr>
              <w:t xml:space="preserve">Preserve null as null — do not default to a fabricated timestamp; Layer 1 depends on true absence being distinguishable from zero</w:t>
            </w:r>
          </w:p>
        </w:tc>
      </w:tr>
      <w:tr>
        <w:tc>
          <w:tcPr>
            <w:tcW w:type="dxa" w:w="2000"/>
            <w:tcMar>
              <w:top w:type="dxa" w:w="80"/>
              <w:left w:type="dxa" w:w="100"/>
              <w:bottom w:type="dxa" w:w="80"/>
              <w:right w:type="dxa" w:w="100"/>
            </w:tcMar>
          </w:tcPr>
          <w:p>
            <w:r>
              <w:rPr>
                <w:b w:val="false"/>
                <w:bCs w:val="false"/>
                <w:sz w:val="20"/>
                <w:szCs w:val="20"/>
              </w:rPr>
              <w:t xml:space="preserve">retry_count_so_far</w:t>
            </w:r>
          </w:p>
        </w:tc>
        <w:tc>
          <w:tcPr>
            <w:tcW w:type="dxa" w:w="2000"/>
            <w:tcMar>
              <w:top w:type="dxa" w:w="80"/>
              <w:left w:type="dxa" w:w="100"/>
              <w:bottom w:type="dxa" w:w="80"/>
              <w:right w:type="dxa" w:w="100"/>
            </w:tcMar>
          </w:tcPr>
          <w:p>
            <w:r>
              <w:rPr>
                <w:b w:val="false"/>
                <w:bCs w:val="false"/>
                <w:sz w:val="20"/>
                <w:szCs w:val="20"/>
              </w:rPr>
              <w:t xml:space="preserve">Clamp to a sane range (0-10); a value outside that range indicates an upstream bug, not a real retry count</w:t>
            </w:r>
          </w:p>
        </w:tc>
      </w:tr>
    </w:tbl>
    <w:p>
      <w:pPr>
        <w:pStyle w:val="Heading2"/>
        <w:spacing w:after="120" w:before="300"/>
      </w:pPr>
      <w:r>
        <w:t xml:space="preserve">5.2 Deduplication (data-cleaning view)</w:t>
      </w:r>
    </w:p>
    <w:p>
      <w:pPr>
        <w:spacing w:after="160" w:line="288"/>
      </w:pPr>
      <w:r>
        <w:rPr>
          <w:b w:val="false"/>
          <w:bCs w:val="false"/>
          <w:i w:val="false"/>
          <w:iCs w:val="false"/>
        </w:rPr>
        <w:t xml:space="preserve">Complements the backend-level UNIQUE constraint in section 2.3: even after dedup at ingestion, downstream feature-enrichment joins (e.g. time_since_last_failure) must exclude records that were rejected as duplicates, so a dropped duplicate never silently contributes to another transaction's derived features.</w:t>
      </w:r>
    </w:p>
    <w:p>
      <w:pPr>
        <w:pStyle w:val="Heading2"/>
        <w:spacing w:after="120" w:before="300"/>
      </w:pPr>
      <w:r>
        <w:t xml:space="preserve">5.3 PII and compliance-sensitive fields</w:t>
      </w:r>
    </w:p>
    <w:p>
      <w:pPr>
        <w:spacing w:after="160" w:line="288"/>
      </w:pPr>
      <w:r>
        <w:rPr>
          <w:b w:val="false"/>
          <w:bCs w:val="false"/>
          <w:i w:val="false"/>
          <w:iCs w:val="false"/>
        </w:rPr>
        <w:t xml:space="preserve">customer_bank and amount are sent to the LLM; nothing that directly identifies the customer (name, account number, card PAN) should ever be part of the classifier's input payload — the five causes are fully determinable from transaction-level metadata, not customer identity.</w:t>
      </w:r>
    </w:p>
    <w:p>
      <w:pPr>
        <w:pStyle w:val="Heading1"/>
        <w:spacing w:after="160" w:before="400"/>
      </w:pPr>
      <w:r>
        <w:t xml:space="preserve">6. Frontend — Classifier Inspector</w:t>
      </w:r>
    </w:p>
    <w:p>
      <w:pPr>
        <w:spacing w:after="160" w:line="288"/>
      </w:pPr>
      <w:r>
        <w:rPr>
          <w:b w:val="false"/>
          <w:bCs w:val="false"/>
          <w:i w:val="false"/>
          <w:iCs w:val="false"/>
        </w:rPr>
        <w:t xml:space="preserve">Feature 1 does not need a full dashboard — that's Feature 7 (Pillar E). What it does need for a working demo is a thin inspector view that proves the classifier's reasoning is real and auditable, since the reasoning field's entire purpose is to answer 'why did the system decide this' when asked live.</w:t>
      </w:r>
    </w:p>
    <w:p>
      <w:pPr>
        <w:pStyle w:val="Heading2"/>
        <w:spacing w:after="120" w:before="300"/>
      </w:pPr>
      <w:r>
        <w:t xml:space="preserve">6.1 Screens</w:t>
      </w:r>
    </w:p>
    <w:p>
      <w:pPr>
        <w:pStyle w:val="ListParagraph"/>
        <w:numPr>
          <w:ilvl w:val="0"/>
          <w:numId w:val="1"/>
        </w:numPr>
        <w:spacing w:after="80" w:line="276"/>
      </w:pPr>
      <w:r>
        <w:t xml:space="preserve">Transaction list — recent failures with cause, confidence, and layer (1 or 2) as columns; filterable by cause.</w:t>
      </w:r>
    </w:p>
    <w:p>
      <w:pPr>
        <w:pStyle w:val="ListParagraph"/>
        <w:numPr>
          <w:ilvl w:val="0"/>
          <w:numId w:val="1"/>
        </w:numPr>
        <w:spacing w:after="80" w:line="276"/>
      </w:pPr>
      <w:r>
        <w:t xml:space="preserve">Transaction detail — the full input payload sent to the classifier, the raw model output, and the reasoning text rendered as plain prose.</w:t>
      </w:r>
    </w:p>
    <w:p>
      <w:pPr>
        <w:pStyle w:val="ListParagraph"/>
        <w:numPr>
          <w:ilvl w:val="0"/>
          <w:numId w:val="1"/>
        </w:numPr>
        <w:spacing w:after="80" w:line="276"/>
      </w:pPr>
      <w:r>
        <w:t xml:space="preserve">Rule-vs-model indicator — a visible badge distinguishing a Layer 1 deterministic result (confidence 1.0, no model) from a Layer 2 LLM result, so it's never ambiguous which layer produced a given classification.</w:t>
      </w:r>
    </w:p>
    <w:p>
      <w:pPr>
        <w:pStyle w:val="Heading2"/>
        <w:spacing w:after="120" w:before="300"/>
      </w:pPr>
      <w:r>
        <w:t xml:space="preserve">6.2 Suggested stack</w:t>
      </w:r>
    </w:p>
    <w:p>
      <w:pPr>
        <w:spacing w:after="160" w:line="288"/>
      </w:pPr>
      <w:r>
        <w:rPr>
          <w:b w:val="false"/>
          <w:bCs w:val="false"/>
          <w:i w:val="false"/>
          <w:iCs w:val="false"/>
        </w:rPr>
        <w:t xml:space="preserve">React + a lightweight table/detail-panel layout is sufficient — this view has no write operations, only reads against the classifications table, so it can be a thin client over a single read API with no separate state-management layer needed.</w:t>
      </w:r>
    </w:p>
    <w:p>
      <w:pPr>
        <w:pStyle w:val="Heading1"/>
        <w:spacing w:after="160" w:before="400"/>
      </w:pPr>
      <w:r>
        <w:t xml:space="preserve">7. Research Datasets &amp; Regulatory References</w:t>
      </w:r>
    </w:p>
    <w:p>
      <w:pPr>
        <w:spacing w:after="160" w:line="288"/>
      </w:pPr>
      <w:r>
        <w:rPr>
          <w:b w:val="false"/>
          <w:bCs w:val="false"/>
          <w:i w:val="false"/>
          <w:iCs w:val="false"/>
        </w:rPr>
        <w:t xml:space="preserve">None of these datasets label the exact five-cause taxonomy used here — they're sources for realistic feature distributions (amounts, response-code patterns, fraud/legitimate ratios) to make synthetic data less arbitrary, not drop-in ground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shd w:fill="E6F1FB" w:val="clear"/>
            <w:tcMar>
              <w:top w:type="dxa" w:w="80"/>
              <w:left w:type="dxa" w:w="100"/>
              <w:bottom w:type="dxa" w:w="80"/>
              <w:right w:type="dxa" w:w="100"/>
            </w:tcMar>
          </w:tcPr>
          <w:p>
            <w:r>
              <w:rPr>
                <w:b/>
                <w:bCs/>
                <w:sz w:val="20"/>
                <w:szCs w:val="20"/>
              </w:rPr>
              <w:t xml:space="preserve">Dataset</w:t>
            </w:r>
          </w:p>
        </w:tc>
        <w:tc>
          <w:tcPr>
            <w:tcW w:type="dxa" w:w="4200"/>
            <w:shd w:fill="E6F1FB" w:val="clear"/>
            <w:tcMar>
              <w:top w:type="dxa" w:w="80"/>
              <w:left w:type="dxa" w:w="100"/>
              <w:bottom w:type="dxa" w:w="80"/>
              <w:right w:type="dxa" w:w="100"/>
            </w:tcMar>
          </w:tcPr>
          <w:p>
            <w:r>
              <w:rPr>
                <w:b/>
                <w:bCs/>
                <w:sz w:val="20"/>
                <w:szCs w:val="20"/>
              </w:rPr>
              <w:t xml:space="preserve">What it offers</w:t>
            </w:r>
          </w:p>
        </w:tc>
        <w:tc>
          <w:tcPr>
            <w:tcW w:type="dxa" w:w="2560"/>
            <w:shd w:fill="E6F1FB" w:val="clear"/>
            <w:tcMar>
              <w:top w:type="dxa" w:w="80"/>
              <w:left w:type="dxa" w:w="100"/>
              <w:bottom w:type="dxa" w:w="80"/>
              <w:right w:type="dxa" w:w="100"/>
            </w:tcMar>
          </w:tcPr>
          <w:p>
            <w:r>
              <w:rPr>
                <w:b/>
                <w:bCs/>
                <w:sz w:val="20"/>
                <w:szCs w:val="20"/>
              </w:rPr>
              <w:t xml:space="preserve">Link</w:t>
            </w:r>
          </w:p>
        </w:tc>
      </w:tr>
      <w:tr>
        <w:tc>
          <w:tcPr>
            <w:tcW w:type="dxa" w:w="2000"/>
            <w:tcMar>
              <w:top w:type="dxa" w:w="80"/>
              <w:left w:type="dxa" w:w="100"/>
              <w:bottom w:type="dxa" w:w="80"/>
              <w:right w:type="dxa" w:w="100"/>
            </w:tcMar>
          </w:tcPr>
          <w:p>
            <w:r>
              <w:rPr>
                <w:b w:val="false"/>
                <w:bCs w:val="false"/>
                <w:sz w:val="20"/>
                <w:szCs w:val="20"/>
              </w:rPr>
              <w:t xml:space="preserve">PaySim synthetic mobile-money dataset</w:t>
            </w:r>
          </w:p>
        </w:tc>
        <w:tc>
          <w:tcPr>
            <w:tcW w:type="dxa" w:w="2000"/>
            <w:tcMar>
              <w:top w:type="dxa" w:w="80"/>
              <w:left w:type="dxa" w:w="100"/>
              <w:bottom w:type="dxa" w:w="80"/>
              <w:right w:type="dxa" w:w="100"/>
            </w:tcMar>
          </w:tcPr>
          <w:p>
            <w:r>
              <w:rPr>
                <w:b w:val="false"/>
                <w:bCs w:val="false"/>
                <w:sz w:val="20"/>
                <w:szCs w:val="20"/>
              </w:rPr>
              <w:t xml:space="preserve">6.3M synthetic mobile transactions across 5 types, modeled on real fintech data — useful reference for transaction-volume and amount distributions</w:t>
            </w:r>
          </w:p>
        </w:tc>
        <w:tc>
          <w:tcPr>
            <w:tcW w:type="dxa" w:w="2000"/>
            <w:tcMar>
              <w:top w:type="dxa" w:w="80"/>
              <w:left w:type="dxa" w:w="100"/>
              <w:bottom w:type="dxa" w:w="80"/>
              <w:right w:type="dxa" w:w="100"/>
            </w:tcMar>
          </w:tcPr>
          <w:p>
            <w:hyperlink w:history="1" r:id="rIdikaxrmgxw2q0iwm3gcmr0">
              <w:r>
                <w:rPr>
                  <w:rStyle w:val="Hyperlink"/>
                </w:rPr>
                <w:t xml:space="preserve">Kaggle: PaySim1</w:t>
              </w:r>
            </w:hyperlink>
          </w:p>
        </w:tc>
      </w:tr>
      <w:tr>
        <w:tc>
          <w:tcPr>
            <w:tcW w:type="dxa" w:w="2000"/>
            <w:tcMar>
              <w:top w:type="dxa" w:w="80"/>
              <w:left w:type="dxa" w:w="100"/>
              <w:bottom w:type="dxa" w:w="80"/>
              <w:right w:type="dxa" w:w="100"/>
            </w:tcMar>
          </w:tcPr>
          <w:p>
            <w:r>
              <w:rPr>
                <w:b w:val="false"/>
                <w:bCs w:val="false"/>
                <w:sz w:val="20"/>
                <w:szCs w:val="20"/>
              </w:rPr>
              <w:t xml:space="preserve">IEEE-CIS Fraud Detection</w:t>
            </w:r>
          </w:p>
        </w:tc>
        <w:tc>
          <w:tcPr>
            <w:tcW w:type="dxa" w:w="2000"/>
            <w:tcMar>
              <w:top w:type="dxa" w:w="80"/>
              <w:left w:type="dxa" w:w="100"/>
              <w:bottom w:type="dxa" w:w="80"/>
              <w:right w:type="dxa" w:w="100"/>
            </w:tcMar>
          </w:tcPr>
          <w:p>
            <w:r>
              <w:rPr>
                <w:b w:val="false"/>
                <w:bCs w:val="false"/>
                <w:sz w:val="20"/>
                <w:szCs w:val="20"/>
              </w:rPr>
              <w:t xml:space="preserve">590K card-not-present transactions with 393 raw features; realistic feature sparsity/messiness for the false-decline / fraud-filter cause</w:t>
            </w:r>
          </w:p>
        </w:tc>
        <w:tc>
          <w:tcPr>
            <w:tcW w:type="dxa" w:w="2000"/>
            <w:tcMar>
              <w:top w:type="dxa" w:w="80"/>
              <w:left w:type="dxa" w:w="100"/>
              <w:bottom w:type="dxa" w:w="80"/>
              <w:right w:type="dxa" w:w="100"/>
            </w:tcMar>
          </w:tcPr>
          <w:p>
            <w:hyperlink w:history="1" r:id="rId2fgop4ioyzou7dvik-kuw">
              <w:r>
                <w:rPr>
                  <w:rStyle w:val="Hyperlink"/>
                </w:rPr>
                <w:t xml:space="preserve">Kaggle: IEEE-CIS</w:t>
              </w:r>
            </w:hyperlink>
          </w:p>
        </w:tc>
      </w:tr>
      <w:tr>
        <w:tc>
          <w:tcPr>
            <w:tcW w:type="dxa" w:w="2000"/>
            <w:tcMar>
              <w:top w:type="dxa" w:w="80"/>
              <w:left w:type="dxa" w:w="100"/>
              <w:bottom w:type="dxa" w:w="80"/>
              <w:right w:type="dxa" w:w="100"/>
            </w:tcMar>
          </w:tcPr>
          <w:p>
            <w:r>
              <w:rPr>
                <w:b w:val="false"/>
                <w:bCs w:val="false"/>
                <w:sz w:val="20"/>
                <w:szCs w:val="20"/>
              </w:rPr>
              <w:t xml:space="preserve">Credit Card Fraud Detection (ULB)</w:t>
            </w:r>
          </w:p>
        </w:tc>
        <w:tc>
          <w:tcPr>
            <w:tcW w:type="dxa" w:w="2000"/>
            <w:tcMar>
              <w:top w:type="dxa" w:w="80"/>
              <w:left w:type="dxa" w:w="100"/>
              <w:bottom w:type="dxa" w:w="80"/>
              <w:right w:type="dxa" w:w="100"/>
            </w:tcMar>
          </w:tcPr>
          <w:p>
            <w:r>
              <w:rPr>
                <w:b w:val="false"/>
                <w:bCs w:val="false"/>
                <w:sz w:val="20"/>
                <w:szCs w:val="20"/>
              </w:rPr>
              <w:t xml:space="preserve">284,807 European card transactions, 492 fraud cases — canonical class-imbalance reference for how rare a given cause should be in a synthetic set</w:t>
            </w:r>
          </w:p>
        </w:tc>
        <w:tc>
          <w:tcPr>
            <w:tcW w:type="dxa" w:w="2000"/>
            <w:tcMar>
              <w:top w:type="dxa" w:w="80"/>
              <w:left w:type="dxa" w:w="100"/>
              <w:bottom w:type="dxa" w:w="80"/>
              <w:right w:type="dxa" w:w="100"/>
            </w:tcMar>
          </w:tcPr>
          <w:p>
            <w:hyperlink w:history="1" r:id="rIdq7xavvipw5lgav_ojj7ys">
              <w:r>
                <w:rPr>
                  <w:rStyle w:val="Hyperlink"/>
                </w:rPr>
                <w:t xml:space="preserve">Kaggle: ULB dataset</w:t>
              </w:r>
            </w:hyperlink>
          </w:p>
        </w:tc>
      </w:tr>
      <w:tr>
        <w:tc>
          <w:tcPr>
            <w:tcW w:type="dxa" w:w="2000"/>
            <w:tcMar>
              <w:top w:type="dxa" w:w="80"/>
              <w:left w:type="dxa" w:w="100"/>
              <w:bottom w:type="dxa" w:w="80"/>
              <w:right w:type="dxa" w:w="100"/>
            </w:tcMar>
          </w:tcPr>
          <w:p>
            <w:r>
              <w:rPr>
                <w:b w:val="false"/>
                <w:bCs w:val="false"/>
                <w:sz w:val="20"/>
                <w:szCs w:val="20"/>
              </w:rPr>
              <w:t xml:space="preserve">Bank Account Fraud Dataset Suite (NeurIPS 2022)</w:t>
            </w:r>
          </w:p>
        </w:tc>
        <w:tc>
          <w:tcPr>
            <w:tcW w:type="dxa" w:w="2000"/>
            <w:tcMar>
              <w:top w:type="dxa" w:w="80"/>
              <w:left w:type="dxa" w:w="100"/>
              <w:bottom w:type="dxa" w:w="80"/>
              <w:right w:type="dxa" w:w="100"/>
            </w:tcMar>
          </w:tcPr>
          <w:p>
            <w:r>
              <w:rPr>
                <w:b w:val="false"/>
                <w:bCs w:val="false"/>
                <w:sz w:val="20"/>
                <w:szCs w:val="20"/>
              </w:rPr>
              <w:t xml:space="preserve">Six realistic bank-account-opening fraud variants with documented bias/robustness properties — useful for per-bank behavior modeling (Pillar B extension)</w:t>
            </w:r>
          </w:p>
        </w:tc>
        <w:tc>
          <w:tcPr>
            <w:tcW w:type="dxa" w:w="2000"/>
            <w:tcMar>
              <w:top w:type="dxa" w:w="80"/>
              <w:left w:type="dxa" w:w="100"/>
              <w:bottom w:type="dxa" w:w="80"/>
              <w:right w:type="dxa" w:w="100"/>
            </w:tcMar>
          </w:tcPr>
          <w:p>
            <w:hyperlink w:history="1" r:id="rIdvgelcuppzm95ss_p23f8b">
              <w:r>
                <w:rPr>
                  <w:rStyle w:val="Hyperlink"/>
                </w:rPr>
                <w:t xml:space="preserve">Kaggle: BAF suite</w:t>
              </w:r>
            </w:hyperlink>
          </w:p>
        </w:tc>
      </w:tr>
      <w:tr>
        <w:tc>
          <w:tcPr>
            <w:tcW w:type="dxa" w:w="2000"/>
            <w:tcMar>
              <w:top w:type="dxa" w:w="80"/>
              <w:left w:type="dxa" w:w="100"/>
              <w:bottom w:type="dxa" w:w="80"/>
              <w:right w:type="dxa" w:w="100"/>
            </w:tcMar>
          </w:tcPr>
          <w:p>
            <w:r>
              <w:rPr>
                <w:b w:val="false"/>
                <w:bCs w:val="false"/>
                <w:sz w:val="20"/>
                <w:szCs w:val="20"/>
              </w:rPr>
              <w:t xml:space="preserve">Online Payments Fraud Detection Dataset</w:t>
            </w:r>
          </w:p>
        </w:tc>
        <w:tc>
          <w:tcPr>
            <w:tcW w:type="dxa" w:w="2000"/>
            <w:tcMar>
              <w:top w:type="dxa" w:w="80"/>
              <w:left w:type="dxa" w:w="100"/>
              <w:bottom w:type="dxa" w:w="80"/>
              <w:right w:type="dxa" w:w="100"/>
            </w:tcMar>
          </w:tcPr>
          <w:p>
            <w:r>
              <w:rPr>
                <w:b w:val="false"/>
                <w:bCs w:val="false"/>
                <w:sz w:val="20"/>
                <w:szCs w:val="20"/>
              </w:rPr>
              <w:t xml:space="preserve">Large synthetic online-payment dataset, general-purpose reference for status/response-code style features</w:t>
            </w:r>
          </w:p>
        </w:tc>
        <w:tc>
          <w:tcPr>
            <w:tcW w:type="dxa" w:w="2000"/>
            <w:tcMar>
              <w:top w:type="dxa" w:w="80"/>
              <w:left w:type="dxa" w:w="100"/>
              <w:bottom w:type="dxa" w:w="80"/>
              <w:right w:type="dxa" w:w="100"/>
            </w:tcMar>
          </w:tcPr>
          <w:p>
            <w:hyperlink w:history="1" r:id="rId5sgrqsb1by_b194zwduk9">
              <w:r>
                <w:rPr>
                  <w:rStyle w:val="Hyperlink"/>
                </w:rPr>
                <w:t xml:space="preserve">Kaggle: online payments</w:t>
              </w:r>
            </w:hyperlink>
          </w:p>
        </w:tc>
      </w:tr>
      <w:tr>
        <w:tc>
          <w:tcPr>
            <w:tcW w:type="dxa" w:w="2000"/>
            <w:tcMar>
              <w:top w:type="dxa" w:w="80"/>
              <w:left w:type="dxa" w:w="100"/>
              <w:bottom w:type="dxa" w:w="80"/>
              <w:right w:type="dxa" w:w="100"/>
            </w:tcMar>
          </w:tcPr>
          <w:p>
            <w:r>
              <w:rPr>
                <w:b w:val="false"/>
                <w:bCs w:val="false"/>
                <w:sz w:val="20"/>
                <w:szCs w:val="20"/>
              </w:rPr>
              <w:t xml:space="preserve">Pattern-Based UPI Transaction Risk Dataset (2026)</w:t>
            </w:r>
          </w:p>
        </w:tc>
        <w:tc>
          <w:tcPr>
            <w:tcW w:type="dxa" w:w="2000"/>
            <w:tcMar>
              <w:top w:type="dxa" w:w="80"/>
              <w:left w:type="dxa" w:w="100"/>
              <w:bottom w:type="dxa" w:w="80"/>
              <w:right w:type="dxa" w:w="100"/>
            </w:tcMar>
          </w:tcPr>
          <w:p>
            <w:r>
              <w:rPr>
                <w:b w:val="false"/>
                <w:bCs w:val="false"/>
                <w:sz w:val="20"/>
                <w:szCs w:val="20"/>
              </w:rPr>
              <w:t xml:space="preserve">Synthetic UPI-specific payment data for pattern-based risk analysis — closest match to the India/UPI context of this project</w:t>
            </w:r>
          </w:p>
        </w:tc>
        <w:tc>
          <w:tcPr>
            <w:tcW w:type="dxa" w:w="2000"/>
            <w:tcMar>
              <w:top w:type="dxa" w:w="80"/>
              <w:left w:type="dxa" w:w="100"/>
              <w:bottom w:type="dxa" w:w="80"/>
              <w:right w:type="dxa" w:w="100"/>
            </w:tcMar>
          </w:tcPr>
          <w:p>
            <w:hyperlink w:history="1" r:id="rIdpva24c8tteo-ybquzpyrx">
              <w:r>
                <w:rPr>
                  <w:rStyle w:val="Hyperlink"/>
                </w:rPr>
                <w:t xml:space="preserve">Kaggle: UPI risk dataset</w:t>
              </w:r>
            </w:hyperlink>
          </w:p>
        </w:tc>
      </w:tr>
    </w:tbl>
    <w:p>
      <w:pPr>
        <w:pStyle w:val="Heading2"/>
        <w:spacing w:after="120" w:before="300"/>
      </w:pPr>
      <w:r>
        <w:t xml:space="preserve">7.1 Regulatory source (ground truth for Layer 1)</w:t>
      </w:r>
    </w:p>
    <w:p>
      <w:pPr>
        <w:spacing w:after="160" w:line="288"/>
      </w:pPr>
      <w:r>
        <w:rPr>
          <w:b w:val="false"/>
          <w:bCs w:val="false"/>
          <w:i w:val="false"/>
          <w:iCs w:val="false"/>
        </w:rPr>
        <w:t xml:space="preserve">Layer 1's rule is not a modeling choice — it is a direct encoding of the RBI's Digital Payments – E-mandate Framework, 2026, which consolidates eight prior circulars and requires issuers to send a pre-transaction notification at least 24 hours before every debit, with post-transaction alerts and grievance-redressal details also mandated. This is the primary source Layer 1's logic should be checked against, not a secondary summary of it.</w:t>
      </w:r>
    </w:p>
    <w:p>
      <w:pPr>
        <w:pStyle w:val="ListParagraph"/>
        <w:numPr>
          <w:ilvl w:val="0"/>
          <w:numId w:val="1"/>
        </w:numPr>
        <w:spacing w:after="200"/>
      </w:pPr>
      <w:hyperlink w:history="1" r:id="rIdy-mx7rsrhqtrddtod6ff4">
        <w:r>
          <w:rPr>
            <w:rStyle w:val="Hyperlink"/>
          </w:rPr>
          <w:t xml:space="preserve">RBI — Digital Payments – E-mandate Framework, 2026 (coverage via ANI)</w:t>
        </w:r>
      </w:hyperlink>
    </w:p>
    <w:p>
      <w:pPr>
        <w:pStyle w:val="Heading1"/>
        <w:spacing w:after="160" w:before="400"/>
      </w:pPr>
      <w:r>
        <w:t xml:space="preserve">8. Summary of Open Issues Carried Into Build</w:t>
      </w:r>
    </w:p>
    <w:p>
      <w:pPr>
        <w:spacing w:after="160" w:line="288"/>
      </w:pPr>
      <w:r>
        <w:rPr>
          <w:b w:val="false"/>
          <w:bCs w:val="false"/>
          <w:i w:val="false"/>
          <w:iCs w:val="false"/>
        </w:rPr>
        <w:t xml:space="preserve">Consolidated from the sections above — each should be a resolved decision before implementation starts, not discovered mid-build:</w:t>
      </w:r>
    </w:p>
    <w:p>
      <w:pPr>
        <w:pStyle w:val="ListParagraph"/>
        <w:numPr>
          <w:ilvl w:val="0"/>
          <w:numId w:val="1"/>
        </w:numPr>
        <w:spacing w:after="80" w:line="276"/>
      </w:pPr>
      <w:r>
        <w:t xml:space="preserve">Dedup must be an atomic DB-level upsert, not a read-then-write check (2.3).</w:t>
      </w:r>
    </w:p>
    <w:p>
      <w:pPr>
        <w:pStyle w:val="ListParagraph"/>
        <w:numPr>
          <w:ilvl w:val="0"/>
          <w:numId w:val="1"/>
        </w:numPr>
        <w:spacing w:after="80" w:line="276"/>
      </w:pPr>
      <w:r>
        <w:t xml:space="preserve">mandate_notification_sent_at field coverage per bank needs auditing before Layer 1 is trusted as fully deterministic (2.4).</w:t>
      </w:r>
    </w:p>
    <w:p>
      <w:pPr>
        <w:pStyle w:val="ListParagraph"/>
        <w:numPr>
          <w:ilvl w:val="0"/>
          <w:numId w:val="1"/>
        </w:numPr>
        <w:spacing w:after="80" w:line="276"/>
      </w:pPr>
      <w:r>
        <w:t xml:space="preserve">'Least aggressive action' needs a fixed per-cause lookup table, not a runtime judgment call (2.5).</w:t>
      </w:r>
    </w:p>
    <w:p>
      <w:pPr>
        <w:pStyle w:val="ListParagraph"/>
        <w:numPr>
          <w:ilvl w:val="0"/>
          <w:numId w:val="1"/>
        </w:numPr>
        <w:spacing w:after="80" w:line="276"/>
      </w:pPr>
      <w:r>
        <w:t xml:space="preserve">LLM call needs timeout, schema-validation retry, and a defined failure path — none of which is optional at production scale (3.5).</w:t>
      </w:r>
    </w:p>
    <w:p>
      <w:pPr>
        <w:pStyle w:val="ListParagraph"/>
        <w:numPr>
          <w:ilvl w:val="0"/>
          <w:numId w:val="1"/>
        </w:numPr>
        <w:spacing w:after="80" w:line="276"/>
      </w:pPr>
      <w:r>
        <w:t xml:space="preserve">Data residency / third-party API acceptability for financial fields needs sign-off given the RBI-governed context (3.5).</w:t>
      </w:r>
    </w:p>
    <w:p>
      <w:pPr>
        <w:pStyle w:val="ListParagraph"/>
        <w:numPr>
          <w:ilvl w:val="0"/>
          <w:numId w:val="1"/>
        </w:numPr>
        <w:spacing w:after="80" w:line="276"/>
      </w:pPr>
      <w:r>
        <w:t xml:space="preserve">Synthetic validation set of ~50 transactions should be treated as directional, not statistically robust, per-cause (4.4).</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400"/>
    </w:pPr>
    <w:rPr>
      <w:b/>
      <w:bCs/>
      <w:color w:val="0C447C"/>
      <w:sz w:val="30"/>
      <w:szCs w:val="30"/>
    </w:rPr>
  </w:style>
  <w:style w:type="paragraph" w:styleId="Heading2">
    <w:name w:val="Heading 2"/>
    <w:basedOn w:val="Normal"/>
    <w:next w:val="Normal"/>
    <w:pPr>
      <w:spacing w:after="120" w:before="300"/>
    </w:pPr>
    <w:rPr>
      <w:b/>
      <w:bCs/>
      <w:color w:val="222222"/>
      <w:sz w:val="25"/>
      <w:szCs w:val="25"/>
    </w:rPr>
  </w:style>
  <w:style w:type="paragraph" w:styleId="Heading3">
    <w:name w:val="Heading 3"/>
    <w:basedOn w:val="Normal"/>
    <w:next w:val="Normal"/>
    <w:pPr>
      <w:spacing w:after="100" w:before="220"/>
    </w:pPr>
    <w:rPr>
      <w:b/>
      <w:b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kaxrmgxw2q0iwm3gcmr0" Type="http://schemas.openxmlformats.org/officeDocument/2006/relationships/hyperlink" Target="https://www.kaggle.com/datasets/ealaxi/paysim1" TargetMode="External"/><Relationship Id="rId2fgop4ioyzou7dvik-kuw" Type="http://schemas.openxmlformats.org/officeDocument/2006/relationships/hyperlink" Target="https://www.kaggle.com/c/ieee-fraud-detection" TargetMode="External"/><Relationship Id="rIdq7xavvipw5lgav_ojj7ys" Type="http://schemas.openxmlformats.org/officeDocument/2006/relationships/hyperlink" Target="https://www.kaggle.com/mlg-ulb/creditcardfraud" TargetMode="External"/><Relationship Id="rIdvgelcuppzm95ss_p23f8b" Type="http://schemas.openxmlformats.org/officeDocument/2006/relationships/hyperlink" Target="https://www.kaggle.com/datasets/sgpjesus/bank-account-fraud-dataset-neurips-2022" TargetMode="External"/><Relationship Id="rId5sgrqsb1by_b194zwduk9" Type="http://schemas.openxmlformats.org/officeDocument/2006/relationships/hyperlink" Target="https://www.kaggle.com/datasets/rupakroy/online-payments-fraud-detection-dataset" TargetMode="External"/><Relationship Id="rIdpva24c8tteo-ybquzpyrx" Type="http://schemas.openxmlformats.org/officeDocument/2006/relationships/hyperlink" Target="https://www.kaggle.com/datasets/kalpitlabs/upi-fraud-detection-dataset-india-synthetic" TargetMode="External"/><Relationship Id="rIdy-mx7rsrhqtrddtod6ff4" Type="http://schemas.openxmlformats.org/officeDocument/2006/relationships/hyperlink" Target="https://www.aninews.in/news/business/rbi-tightens-auto-debit-rules-24-hour-prior-alert-now-mandatory-for-recurring-payments20260421202816/"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2026-08-22T16:47:38.150Z</dcterms:created>
  <dcterms:modified xsi:type="dcterms:W3CDTF">2026-08-22T16:47:38.150Z</dcterms:modified>
</cp:coreProperties>
</file>

<file path=docProps/custom.xml><?xml version="1.0" encoding="utf-8"?>
<Properties xmlns="http://schemas.openxmlformats.org/officeDocument/2006/custom-properties" xmlns:vt="http://schemas.openxmlformats.org/officeDocument/2006/docPropsVTypes"/>
</file>