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A_Mito_2026 — Results and interpretation (candidate manuscript text)</w:t>
      </w:r>
    </w:p>
    <w:p>
      <w:pPr>
        <w:pStyle w:val="Date"/>
      </w:pPr>
      <w:r>
        <w:t xml:space="preserve">2026-06-04</w: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H9c2 rat cardiomyoblasts treated with phenylephrine (PHE) and/or co-incubated</w:t>
      </w:r>
      <w:r>
        <w:t xml:space="preserve"> </w:t>
      </w:r>
      <w:r>
        <w:t xml:space="preserve">with isolated mitochondria, in a 2 × 2 design (Ctl, Mito, PHE, PHE_Mito;</w:t>
      </w:r>
      <w:r>
        <w:t xml:space="preserve"> </w:t>
      </w:r>
      <w:r>
        <w:t xml:space="preserve">n = 6/group, N = 24). The four core comparisons map onto the rescue paradigm</w:t>
      </w:r>
      <w:r>
        <w:t xml:space="preserve"> </w:t>
      </w:r>
      <w:r>
        <w:t xml:space="preserve">introduced by Masuzawa and colleagues (PMID 23355340) and most recently</w:t>
      </w:r>
      <w:r>
        <w:t xml:space="preserve"> </w:t>
      </w:r>
      <w:r>
        <w:t xml:space="preserve">extended by Doulamis and colleagues (PMID 39732955):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Biological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CTLvPHE</w:t>
            </w:r>
          </w:p>
        </w:tc>
        <w:tc>
          <w:tcPr/>
          <w:p>
            <w:pPr>
              <w:pStyle w:val="Compact"/>
            </w:pPr>
            <w:r>
              <w:t xml:space="preserve">Does α1-adrenergic stress remodel the cardiomyoblast proteome?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CTLvMITO</w:t>
            </w:r>
          </w:p>
        </w:tc>
        <w:tc>
          <w:tcPr/>
          <w:p>
            <w:pPr>
              <w:pStyle w:val="Compact"/>
            </w:pPr>
            <w:r>
              <w:t xml:space="preserve">Does mitochondrial transplant leave a cell-autonomous signature in healthy cells?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PHEvPHE_MITO</w:t>
            </w:r>
          </w:p>
        </w:tc>
        <w:tc>
          <w:tcPr/>
          <w:p>
            <w:pPr>
              <w:pStyle w:val="Compact"/>
            </w:pPr>
            <w:r>
              <w:t xml:space="preserve">Does mitochondrial transplant rescue the PHE-stressed proteome?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Does PHE alter what mitochondrial transplant does? (descriptive; underpowered at N = 24)</w:t>
            </w:r>
          </w:p>
        </w:tc>
      </w:tr>
    </w:tbl>
    <w:p>
      <w:pPr>
        <w:pStyle w:val="BodyText"/>
      </w:pPr>
      <w:r>
        <w:t xml:space="preserve">A secondary MITOvPHE_MITO comparison was retained for sensitivity reporting</w:t>
      </w:r>
      <w:r>
        <w:t xml:space="preserve"> </w:t>
      </w:r>
      <w:r>
        <w:t xml:space="preserve">but is not interpreted as a primary biological contrast.</w:t>
      </w:r>
    </w:p>
    <w:p>
      <w:pPr>
        <w:pStyle w:val="BodyText"/>
      </w:pPr>
      <w:r>
        <w:t xml:space="preserve">Stage 03 differential abundance used limma with</w:t>
      </w:r>
      <w:r>
        <w:t xml:space="preserve"> </w:t>
      </w:r>
      <w:r>
        <w:rPr>
          <w:rStyle w:val="VerbatimChar"/>
        </w:rPr>
        <w:t xml:space="preserve">~ 0 + group + (1 | Replicate)</w:t>
      </w:r>
      <w:r>
        <w:t xml:space="preserve">,</w:t>
      </w:r>
      <w:r>
        <w:t xml:space="preserve"> </w:t>
      </w:r>
      <w:r>
        <w:t xml:space="preserve">routed through proteoDA’s duplicateCorrelation interface. The capital-pi</w:t>
      </w:r>
      <w:r>
        <w:t xml:space="preserve"> </w:t>
      </w:r>
      <w:r>
        <w:t xml:space="preserve">significance score (Π = P-value^|logFC|; Xiao et al. 2014, Bioinformatics</w:t>
      </w:r>
      <w:r>
        <w:t xml:space="preserve"> </w:t>
      </w:r>
      <w:r>
        <w:t xml:space="preserve">30:801) was applied at Π &lt; 0.05 alongside Benjamini-Hochberg FDR &lt; 0.10.</w:t>
      </w:r>
    </w:p>
    <w:bookmarkEnd w:id="9"/>
    <w:bookmarkStart w:id="10" w:name="method-robustness"/>
    <w:p>
      <w:pPr>
        <w:pStyle w:val="Heading1"/>
      </w:pPr>
      <w:r>
        <w:t xml:space="preserve">Method robustness</w:t>
      </w:r>
    </w:p>
    <w:p>
      <w:pPr>
        <w:pStyle w:val="FirstParagraph"/>
      </w:pPr>
      <w:r>
        <w:t xml:space="preserve">Imputation sensitivity (per-contrast Spearman ρ between the primary missForest</w:t>
      </w:r>
      <w:r>
        <w:t xml:space="preserve"> </w:t>
      </w:r>
      <w:r>
        <w:t xml:space="preserve">matrix and an alternative imputation) was ≥ 0.992 for all five contrasts.</w:t>
      </w:r>
      <w:r>
        <w:t xml:space="preserve"> </w:t>
      </w:r>
      <w:r>
        <w:t xml:space="preserve">Reinjection sensitivity (per-contrast Spearman ρ with the four r-suffixed</w:t>
      </w:r>
      <w:r>
        <w:t xml:space="preserve"> </w:t>
      </w:r>
      <w:r>
        <w:t xml:space="preserve">samples removed) was ≥ 0.95 for the four core contrasts and 0.82 for the</w:t>
      </w:r>
      <w:r>
        <w:t xml:space="preserve"> </w:t>
      </w:r>
      <w:r>
        <w:t xml:space="preserve">secondary MITOvPHE_MITO comparison; the imbalance (Ctl 1, Mito 0, PHE 2,</w:t>
      </w:r>
      <w:r>
        <w:t xml:space="preserve"> </w:t>
      </w:r>
      <w:r>
        <w:t xml:space="preserve">PHE_Mito 3) is the largest open caveat in the dataset. Robust empirical-Bayes</w:t>
      </w:r>
      <w:r>
        <w:t xml:space="preserve"> </w:t>
      </w:r>
      <w:r>
        <w:t xml:space="preserve">moderation returned identical FDR and Π counts to the default in all</w:t>
      </w:r>
      <w:r>
        <w:t xml:space="preserve"> </w:t>
      </w:r>
      <w:r>
        <w:t xml:space="preserve">contrasts, indicating that variance moderation choice is not a driver of the</w:t>
      </w:r>
      <w:r>
        <w:t xml:space="preserve"> </w:t>
      </w:r>
      <w:r>
        <w:t xml:space="preserve">called proteins.</w:t>
      </w:r>
    </w:p>
    <w:bookmarkEnd w:id="10"/>
    <w:bookmarkStart w:id="17" w:name="figure-by-figure-interpretation"/>
    <w:p>
      <w:pPr>
        <w:pStyle w:val="Heading1"/>
      </w:pPr>
      <w:r>
        <w:t xml:space="preserve">Figure-by-figure interpretation</w:t>
      </w:r>
    </w:p>
    <w:bookmarkStart w:id="11" w:name="X62245c02a582bb3c95a86a9034d110ad88cce71"/>
    <w:p>
      <w:pPr>
        <w:pStyle w:val="Heading2"/>
      </w:pPr>
      <w:r>
        <w:t xml:space="preserve">F01 — Sample structure and proteome-wide picture</w:t>
      </w:r>
    </w:p>
    <w:p>
      <w:pPr>
        <w:pStyle w:val="FirstParagraph"/>
      </w:pPr>
      <w:r>
        <w:t xml:space="preserve">Principal-component analysis separates the four groups along PC1</w:t>
      </w:r>
      <w:r>
        <w:t xml:space="preserve"> </w:t>
      </w:r>
      <w:r>
        <w:t xml:space="preserve">(group main effect: PERMANOVA pseudo-F p = 4 × 10⁻⁴). Per-protein</w:t>
      </w:r>
      <w:r>
        <w:t xml:space="preserve"> </w:t>
      </w:r>
      <w:r>
        <w:t xml:space="preserve">significance shows the expected ordering of effect sizes:</w:t>
      </w:r>
      <w:r>
        <w:t xml:space="preserve"> </w:t>
      </w:r>
      <w:r>
        <w:t xml:space="preserve">PHEvPHE_MITO &gt; CTLvMITO &gt; CTLvPHE &gt; Interaction. After harmonizing</w:t>
      </w:r>
      <w:r>
        <w:t xml:space="preserve"> </w:t>
      </w:r>
      <w:r>
        <w:t xml:space="preserve">Hallmark, Reactome, and MitoCarta annotations and Jaccard-collapsing</w:t>
      </w:r>
      <w:r>
        <w:t xml:space="preserve"> </w:t>
      </w:r>
      <w:r>
        <w:t xml:space="preserve">redundant gene sets, 167 unique Π-significant DEPs survive, with 41</w:t>
      </w:r>
      <w:r>
        <w:t xml:space="preserve"> </w:t>
      </w:r>
      <w:r>
        <w:t xml:space="preserve">flagged as MitoCarta members. The mito-protein rank panel confirms</w:t>
      </w:r>
      <w:r>
        <w:t xml:space="preserve"> </w:t>
      </w:r>
      <w:r>
        <w:t xml:space="preserve">that the mito-transplanted contrasts pull mitochondrial proteins to</w:t>
      </w:r>
      <w:r>
        <w:t xml:space="preserve"> </w:t>
      </w:r>
      <w:r>
        <w:t xml:space="preserve">the upper tail of the effect-size distribution.</w:t>
      </w:r>
    </w:p>
    <w:p>
      <w:pPr>
        <w:pStyle w:val="BodyText"/>
      </w:pPr>
      <w:r>
        <w:t xml:space="preserve">The pipeline supplement (F01_QC_supplementary.xlsx) shows that normalization</w:t>
      </w:r>
      <w:r>
        <w:t xml:space="preserve"> </w:t>
      </w:r>
      <w:r>
        <w:t xml:space="preserve">(cycloess), missingness classification (msImpute EBM into MAR/MNAR), and</w:t>
      </w:r>
      <w:r>
        <w:t xml:space="preserve"> </w:t>
      </w:r>
      <w:r>
        <w:t xml:space="preserve">imputation (single missForest applied to all proteins) recover sample</w:t>
      </w:r>
      <w:r>
        <w:t xml:space="preserve"> </w:t>
      </w:r>
      <w:r>
        <w:t xml:space="preserve">clustering consistent with the design.</w:t>
      </w:r>
    </w:p>
    <w:bookmarkEnd w:id="11"/>
    <w:bookmarkStart w:id="12" w:name="X41003220c8c1dc3c132d1fa2f7d7e208215fd93"/>
    <w:p>
      <w:pPr>
        <w:pStyle w:val="Heading2"/>
      </w:pPr>
      <w:r>
        <w:t xml:space="preserve">F02 — Contrast-resolved volcano landscape (mito lens canonical, GO-Slim and CORUM as supplements)</w:t>
      </w:r>
    </w:p>
    <w:p>
      <w:pPr>
        <w:pStyle w:val="FirstParagraph"/>
      </w:pPr>
      <w:r>
        <w:t xml:space="preserve">The 2 × 2 volcano-in-ring composite stratifies each contrast by MitoCarta</w:t>
      </w:r>
      <w:r>
        <w:t xml:space="preserve"> </w:t>
      </w:r>
      <w:r>
        <w:t xml:space="preserve">pathway (main figure) and additionally by CORUM protein complexes and GO-Slim</w:t>
      </w:r>
      <w:r>
        <w:t xml:space="preserve"> </w:t>
      </w:r>
      <w:r>
        <w:t xml:space="preserve">biological process (supplementary). The mito lens — chosen as canonical</w:t>
      </w:r>
      <w:r>
        <w:t xml:space="preserve"> </w:t>
      </w:r>
      <w:r>
        <w:t xml:space="preserve">because the experimental intervention is mitochondrial — shows: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(CTLvMITO)</w:t>
      </w:r>
      <w:r>
        <w:t xml:space="preserve">: 5 MitoCarta NES-significant pathways UP, 0 DOWN. OXPHOS subunits and mitoribosomal protein sets dominate.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Rescue (PHEvPHE_MITO)</w:t>
      </w:r>
      <w:r>
        <w:t xml:space="preserve">: 6 MitoCarta pathways UP after Jaccard collapse (13 pre-collapse), 0 DOWN. Mito delivery continues under PHE stress.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Disease (CTLvPHE)</w:t>
      </w:r>
      <w:r>
        <w:t xml:space="preserve">: 0 MitoCarta pathways pass NES significance with the harmonized collection — α1-adrenergic stress is not predominantly mitochondrial at the pathway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Interaction</w:t>
      </w:r>
      <w:r>
        <w:t xml:space="preserve">: 2 MitoCarta pathways with positive NES, descriptive only.</w:t>
      </w:r>
    </w:p>
    <w:p>
      <w:pPr>
        <w:pStyle w:val="FirstParagraph"/>
      </w:pPr>
      <w:r>
        <w:t xml:space="preserve">The CORUM and GO-Slim variants in the supplement provide complementary</w:t>
      </w:r>
      <w:r>
        <w:t xml:space="preserve"> </w:t>
      </w:r>
      <w:r>
        <w:t xml:space="preserve">biological-process and macromolecular-complex framing without changing the</w:t>
      </w:r>
      <w:r>
        <w:t xml:space="preserve"> </w:t>
      </w:r>
      <w:r>
        <w:t xml:space="preserve">contrast-level conclusion.</w:t>
      </w:r>
    </w:p>
    <w:bookmarkEnd w:id="12"/>
    <w:bookmarkStart w:id="13" w:name="f03-transplant-vs-rescue-concordance"/>
    <w:p>
      <w:pPr>
        <w:pStyle w:val="Heading2"/>
      </w:pPr>
      <w:r>
        <w:t xml:space="preserve">F03 — Transplant vs Rescue concordance</w:t>
      </w:r>
    </w:p>
    <w:p>
      <w:pPr>
        <w:pStyle w:val="FirstParagraph"/>
      </w:pPr>
      <w:r>
        <w:t xml:space="preserve">The NES-vs-NES quadrant (Transplant on x, Rescue on y) shows Spearman</w:t>
      </w:r>
      <w:r>
        <w:t xml:space="preserve"> </w:t>
      </w:r>
      <w:r>
        <w:t xml:space="preserve">ρ = 0.626 (95% CI 0.46–0.75) across the 74 shared pathways. The RRHO2</w:t>
      </w:r>
      <w:r>
        <w:t xml:space="preserve"> </w:t>
      </w:r>
      <w:r>
        <w:t xml:space="preserve">matrix identifies 1,629 concordant-up and 1,636 concordant-down genes</w:t>
      </w:r>
      <w:r>
        <w:t xml:space="preserve"> </w:t>
      </w:r>
      <w:r>
        <w:t xml:space="preserve">with effectively zero discordant content. Concordant-up ORA (after 45.7%</w:t>
      </w:r>
      <w:r>
        <w:t xml:space="preserve"> </w:t>
      </w:r>
      <w:r>
        <w:t xml:space="preserve">Jaccard dedup) recovers 12 mitochondrial / OXPHOS pathways.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mitochondrial transplant signature observed in healthy cells (CTLvMITO) is</w:t>
      </w:r>
      <w:r>
        <w:rPr>
          <w:b/>
          <w:bCs/>
        </w:rPr>
        <w:t xml:space="preserve"> </w:t>
      </w:r>
      <w:r>
        <w:rPr>
          <w:b/>
          <w:bCs/>
        </w:rPr>
        <w:t xml:space="preserve">largely the same signature that is also observed when transplanting into</w:t>
      </w:r>
      <w:r>
        <w:rPr>
          <w:b/>
          <w:bCs/>
        </w:rPr>
        <w:t xml:space="preserve"> </w:t>
      </w:r>
      <w:r>
        <w:rPr>
          <w:b/>
          <w:bCs/>
        </w:rPr>
        <w:t xml:space="preserve">PHE-stressed cells (PHEvPHE_MITO).</w:t>
      </w:r>
      <w:r>
        <w:t xml:space="preserve"> </w:t>
      </w:r>
      <w:r>
        <w:t xml:space="preserve">The intervention is consistent across</w:t>
      </w:r>
      <w:r>
        <w:t xml:space="preserve"> </w:t>
      </w:r>
      <w:r>
        <w:t xml:space="preserve">cellular states.</w:t>
      </w:r>
    </w:p>
    <w:bookmarkEnd w:id="13"/>
    <w:bookmarkStart w:id="14" w:name="f04-disease-vs-rescue-reversal"/>
    <w:p>
      <w:pPr>
        <w:pStyle w:val="Heading2"/>
      </w:pPr>
      <w:r>
        <w:t xml:space="preserve">F04 — Disease vs Rescue reversal</w:t>
      </w:r>
    </w:p>
    <w:p>
      <w:pPr>
        <w:pStyle w:val="FirstParagraph"/>
      </w:pPr>
      <w:r>
        <w:t xml:space="preserve">The NES quadrant (Disease PHE-effect on x, Rescue mito-effect on y)</w:t>
      </w:r>
      <w:r>
        <w:t xml:space="preserve"> </w:t>
      </w:r>
      <w:r>
        <w:t xml:space="preserve">shows Spearman ρ = −0.42 (CI −0.59 to −0.21). The negative correlation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rescue signature</w:t>
      </w:r>
      <w:r>
        <w:t xml:space="preserve">: pathways perturbed by PHE in one direction</w:t>
      </w:r>
      <w:r>
        <w:t xml:space="preserve"> </w:t>
      </w:r>
      <w:r>
        <w:t xml:space="preserve">are returned in the opposite direction by mitochondrial transplant.</w:t>
      </w:r>
      <w:r>
        <w:t xml:space="preserve"> </w:t>
      </w:r>
      <w:r>
        <w:t xml:space="preserve">RRHO2 reveals 1,440 Disease-up genes that Rescue brings down, and 1,151</w:t>
      </w:r>
      <w:r>
        <w:t xml:space="preserve"> </w:t>
      </w:r>
      <w:r>
        <w:t xml:space="preserve">Disease-down genes that Rescue brings up. The exacerbated quadrants</w:t>
      </w:r>
      <w:r>
        <w:t xml:space="preserve"> </w:t>
      </w:r>
      <w:r>
        <w:t xml:space="preserve">(Mito making PHE worse) are essentially empty. This is the central</w:t>
      </w:r>
      <w:r>
        <w:t xml:space="preserve"> </w:t>
      </w:r>
      <w:r>
        <w:t xml:space="preserve">biological claim of the dataset: mitochondrial transplant does not just</w:t>
      </w:r>
      <w:r>
        <w:t xml:space="preserve"> </w:t>
      </w:r>
      <w:r>
        <w:t xml:space="preserve">add a mito signature on top of disease — it actively returns the</w:t>
      </w:r>
      <w:r>
        <w:t xml:space="preserve"> </w:t>
      </w:r>
      <w:r>
        <w:t xml:space="preserve">PHE-perturbed proteome toward control.</w:t>
      </w:r>
    </w:p>
    <w:bookmarkEnd w:id="14"/>
    <w:bookmarkStart w:id="15" w:name="X82b41b290dd3594bb21972ff685fa1803d5256a"/>
    <w:p>
      <w:pPr>
        <w:pStyle w:val="Heading2"/>
      </w:pPr>
      <w:r>
        <w:t xml:space="preserve">F05 — Pathway-set scores and module structure</w:t>
      </w:r>
    </w:p>
    <w:p>
      <w:pPr>
        <w:pStyle w:val="FirstParagraph"/>
      </w:pPr>
      <w:r>
        <w:t xml:space="preserve">Set-level scoring with both GSVA and singscore (per-contrast Spearman ρ</w:t>
      </w:r>
      <w:r>
        <w:t xml:space="preserve"> </w:t>
      </w:r>
      <w:r>
        <w:t xml:space="preserve">0.78–0.83) shows that 49 sets pass FDR &lt; 0.05 under PHE+Mito Rescue,</w:t>
      </w:r>
      <w:r>
        <w:t xml:space="preserve"> </w:t>
      </w:r>
      <w:r>
        <w:t xml:space="preserve">21 under Transplant, 0 under Disease and Interaction. The two stronger</w:t>
      </w:r>
      <w:r>
        <w:t xml:space="preserve"> </w:t>
      </w:r>
      <w:r>
        <w:t xml:space="preserve">contrasts clear the methodological-agreement floor (ρ &gt; 0.80); the two</w:t>
      </w:r>
      <w:r>
        <w:t xml:space="preserve"> </w:t>
      </w:r>
      <w:r>
        <w:t xml:space="preserve">weaker contrasts sit just below (0.79 and 0.78), consistent with noisier</w:t>
      </w:r>
      <w:r>
        <w:t xml:space="preserve"> </w:t>
      </w:r>
      <w:r>
        <w:t xml:space="preserve">method agreement when underlying effects are null.</w:t>
      </w:r>
    </w:p>
    <w:p>
      <w:pPr>
        <w:pStyle w:val="BodyText"/>
      </w:pPr>
      <w:r>
        <w:t xml:space="preserve">The WGCNA supplement is exploratory only (the module-eigengene LMMs use</w:t>
      </w:r>
      <w:r>
        <w:t xml:space="preserve"> </w:t>
      </w:r>
      <w:r>
        <w:t xml:space="preserve">the same data the modules were derived from; the circular-analysis caveat</w:t>
      </w:r>
      <w:r>
        <w:t xml:space="preserve"> </w:t>
      </w:r>
      <w:r>
        <w:t xml:space="preserve">on the figure should not be removed). Seven non-grey modules with 35</w:t>
      </w:r>
      <w:r>
        <w:t xml:space="preserve"> </w:t>
      </w:r>
      <w:r>
        <w:t xml:space="preserve">designated hub proteins emerged, and the module-NES diptych against</w:t>
      </w:r>
      <w:r>
        <w:t xml:space="preserve"> </w:t>
      </w:r>
      <w:r>
        <w:t xml:space="preserve">Hallmark + Reactome + MitoCarta provides a coarse functional ledger</w:t>
      </w:r>
      <w:r>
        <w:t xml:space="preserve"> </w:t>
      </w:r>
      <w:r>
        <w:t xml:space="preserve">of what each module corresponds to.</w:t>
      </w:r>
    </w:p>
    <w:bookmarkEnd w:id="15"/>
    <w:bookmarkStart w:id="16" w:name="X607299deb8a954c8698339afdaca682c087aa1c"/>
    <w:p>
      <w:pPr>
        <w:pStyle w:val="Heading2"/>
      </w:pPr>
      <w:r>
        <w:t xml:space="preserve">F06 — OXPHOS complex stoichiometry and mitonuclear balance</w:t>
      </w:r>
    </w:p>
    <w:p>
      <w:pPr>
        <w:pStyle w:val="FirstParagraph"/>
      </w:pPr>
      <w:r>
        <w:t xml:space="preserve">OXPHOS subunit content (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competitive test on grouped subunits):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Transplant (UP)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Rescue (UP)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OXPHOS_all (n = 64)</w:t>
            </w:r>
          </w:p>
        </w:tc>
        <w:tc>
          <w:tcPr/>
          <w:p>
            <w:pPr>
              <w:pStyle w:val="Compact"/>
            </w:pPr>
            <w:r>
              <w:t xml:space="preserve">p = 0.026</w:t>
            </w:r>
          </w:p>
        </w:tc>
        <w:tc>
          <w:tcPr/>
          <w:p>
            <w:pPr>
              <w:pStyle w:val="Compact"/>
            </w:pPr>
            <w:r>
              <w:t xml:space="preserve">p = 0.26 (Down)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3.2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V (n = 15)</w:t>
            </w:r>
          </w:p>
        </w:tc>
        <w:tc>
          <w:tcPr/>
          <w:p>
            <w:pPr>
              <w:pStyle w:val="Compact"/>
            </w:pPr>
            <w:r>
              <w:t xml:space="preserve">p = 0.025</w:t>
            </w:r>
          </w:p>
        </w:tc>
        <w:tc>
          <w:tcPr/>
          <w:p>
            <w:pPr>
              <w:pStyle w:val="Compact"/>
            </w:pPr>
            <w:r>
              <w:t xml:space="preserve">p = 0.12 (Down)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3.8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Mitoribosome (n = 55)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3.5 × 10⁻³</w:t>
            </w:r>
          </w:p>
        </w:tc>
        <w:tc>
          <w:tcPr/>
          <w:p>
            <w:pPr>
              <w:pStyle w:val="Compact"/>
            </w:pPr>
            <w:r>
              <w:t xml:space="preserve">p = 0.55</w:t>
            </w:r>
          </w:p>
        </w:tc>
        <w:tc>
          <w:tcPr/>
          <w:p>
            <w:pPr>
              <w:pStyle w:val="Compact"/>
            </w:pPr>
            <w:r>
              <w:t xml:space="preserve">p = 4.9 × 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 (n = 30)</w:t>
            </w:r>
          </w:p>
        </w:tc>
        <w:tc>
          <w:tcPr/>
          <w:p>
            <w:pPr>
              <w:pStyle w:val="Compact"/>
            </w:pPr>
            <w:r>
              <w:t xml:space="preserve">p = 0.36</w:t>
            </w:r>
          </w:p>
        </w:tc>
        <w:tc>
          <w:tcPr/>
          <w:p>
            <w:pPr>
              <w:pStyle w:val="Compact"/>
            </w:pPr>
            <w:r>
              <w:t xml:space="preserve">p = 0.19 (Down)</w:t>
            </w:r>
          </w:p>
        </w:tc>
        <w:tc>
          <w:tcPr/>
          <w:p>
            <w:pPr>
              <w:pStyle w:val="Compact"/>
            </w:pPr>
            <w:r>
              <w:t xml:space="preserve">p =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III (n = 8)</w:t>
            </w:r>
          </w:p>
        </w:tc>
        <w:tc>
          <w:tcPr/>
          <w:p>
            <w:pPr>
              <w:pStyle w:val="Compact"/>
            </w:pPr>
            <w:r>
              <w:t xml:space="preserve">p = 0.44</w:t>
            </w:r>
          </w:p>
        </w:tc>
        <w:tc>
          <w:tcPr/>
          <w:p>
            <w:pPr>
              <w:pStyle w:val="Compact"/>
            </w:pPr>
            <w:r>
              <w:t xml:space="preserve">p = 0.37 (Down)</w:t>
            </w:r>
          </w:p>
        </w:tc>
        <w:tc>
          <w:tcPr/>
          <w:p>
            <w:pPr>
              <w:pStyle w:val="Compact"/>
            </w:pPr>
            <w:r>
              <w:t xml:space="preserve">p =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IV (n = 11)</w:t>
            </w:r>
          </w:p>
        </w:tc>
        <w:tc>
          <w:tcPr/>
          <w:p>
            <w:pPr>
              <w:pStyle w:val="Compact"/>
            </w:pPr>
            <w:r>
              <w:t xml:space="preserve">p = 0.12</w:t>
            </w:r>
          </w:p>
        </w:tc>
        <w:tc>
          <w:tcPr/>
          <w:p>
            <w:pPr>
              <w:pStyle w:val="Compact"/>
            </w:pPr>
            <w:r>
              <w:t xml:space="preserve">p = 0.10</w:t>
            </w:r>
          </w:p>
        </w:tc>
        <w:tc>
          <w:tcPr/>
          <w:p>
            <w:pPr>
              <w:pStyle w:val="Compact"/>
            </w:pPr>
            <w:r>
              <w:t xml:space="preserve">p = 0.41</w:t>
            </w:r>
          </w:p>
        </w:tc>
      </w:tr>
    </w:tbl>
    <w:p>
      <w:pPr>
        <w:pStyle w:val="BodyText"/>
      </w:pPr>
      <w:r>
        <w:t xml:space="preserve">The Rescue camera signal for OXPHOS_all (p = 3.2 × 10⁻⁵, FDR = 2 × 10⁻⁴)</w:t>
      </w:r>
      <w:r>
        <w:t xml:space="preserve"> </w:t>
      </w:r>
      <w:r>
        <w:t xml:space="preserve">is the single largest statistical signal in the dataset. Complex V and</w:t>
      </w:r>
      <w:r>
        <w:t xml:space="preserve"> </w:t>
      </w:r>
      <w:r>
        <w:t xml:space="preserve">the mitoribosome are the most affected sub-units under Transplant; under</w:t>
      </w:r>
      <w:r>
        <w:t xml:space="preserve"> </w:t>
      </w:r>
      <w:r>
        <w:t xml:space="preserve">Rescue, every complex except IV becomes significant.</w:t>
      </w:r>
    </w:p>
    <w:p>
      <w:pPr>
        <w:pStyle w:val="BodyText"/>
      </w:pPr>
      <w:r>
        <w:t xml:space="preserve">Mitonuclear balance (mtDNA-encoded vs nuclear-encoded OXPHOS subunits;</w:t>
      </w:r>
      <w:r>
        <w:t xml:space="preserve"> </w:t>
      </w:r>
      <w:r>
        <w:t xml:space="preserve">Houtkooper et al. 2013, Nature, PMID 23698443) is positive and significant</w:t>
      </w:r>
      <w:r>
        <w:t xml:space="preserve"> </w:t>
      </w:r>
      <w:r>
        <w:t xml:space="preserve">under Transplant (estimate = +0.20, FDR = 0.035) and near-significant under</w:t>
      </w:r>
      <w:r>
        <w:t xml:space="preserve"> </w:t>
      </w:r>
      <w:r>
        <w:t xml:space="preserve">Rescue (estimate = +0.15, FDR = 0.075).</w:t>
      </w:r>
      <w:r>
        <w:t xml:space="preserve"> </w:t>
      </w:r>
      <w:r>
        <w:rPr>
          <w:b/>
          <w:bCs/>
        </w:rPr>
        <w:t xml:space="preserve">mtDNA-encoded subunits gain more</w:t>
      </w:r>
      <w:r>
        <w:rPr>
          <w:b/>
          <w:bCs/>
        </w:rPr>
        <w:t xml:space="preserve"> </w:t>
      </w:r>
      <w:r>
        <w:rPr>
          <w:b/>
          <w:bCs/>
        </w:rPr>
        <w:t xml:space="preserve">than nuclear-encoded subunits under mitochondrial transplant</w:t>
      </w:r>
      <w:r>
        <w:t xml:space="preserve">, providing</w:t>
      </w:r>
      <w:r>
        <w:t xml:space="preserve"> </w:t>
      </w:r>
      <w:r>
        <w:t xml:space="preserve">direct evidence that the delivered cargo includes intact mitochondrial DNA</w:t>
      </w:r>
      <w:r>
        <w:t xml:space="preserve"> </w:t>
      </w:r>
      <w:r>
        <w:t xml:space="preserve">and its translated products (Mt-nd4, top-20 per-protein hit in CTLvMITO at</w:t>
      </w:r>
      <w:r>
        <w:t xml:space="preserve"> </w:t>
      </w:r>
      <w:r>
        <w:t xml:space="preserve">logFC = +0.99, supports this molecularly).</w:t>
      </w:r>
    </w:p>
    <w:p>
      <w:pPr>
        <w:pStyle w:val="BodyText"/>
      </w:pPr>
      <w:r>
        <w:t xml:space="preserve">The pair-stoichiometry LMM returned 0 FDR-significant subunit-pair</w:t>
      </w:r>
      <w:r>
        <w:t xml:space="preserve"> </w:t>
      </w:r>
      <w:r>
        <w:t xml:space="preserve">imbalance effects. The covariation supplement shows weak cohesion</w:t>
      </w:r>
      <w:r>
        <w:t xml:space="preserve"> </w:t>
      </w:r>
      <w:r>
        <w:t xml:space="preserve">(range 0.02-0.13) and is documented as underpowered at N = 24; this is</w:t>
      </w:r>
      <w:r>
        <w:t xml:space="preserve"> </w:t>
      </w:r>
      <w:r>
        <w:t xml:space="preserve">why the AlteredPQR proteostatic-rebalance call is treated as exploratory.</w:t>
      </w:r>
    </w:p>
    <w:bookmarkEnd w:id="16"/>
    <w:bookmarkEnd w:id="17"/>
    <w:bookmarkStart w:id="22" w:name="per-contrast-biological-summary"/>
    <w:p>
      <w:pPr>
        <w:pStyle w:val="Heading1"/>
      </w:pPr>
      <w:r>
        <w:t xml:space="preserve">Per-contrast biological summary</w:t>
      </w:r>
    </w:p>
    <w:bookmarkStart w:id="18" w:name="ctlvphe-α1-adrenergic-stress"/>
    <w:p>
      <w:pPr>
        <w:pStyle w:val="Heading2"/>
      </w:pPr>
      <w:r>
        <w:t xml:space="preserve">CTLvPHE — α1-adrenergic stress</w:t>
      </w:r>
    </w:p>
    <w:p>
      <w:pPr>
        <w:pStyle w:val="FirstParagraph"/>
      </w:pPr>
      <w:r>
        <w:t xml:space="preserve">PHE upregulates Ccn2 / CTGF (logFC = +0.56, FDR = 0.013), a canonical</w:t>
      </w:r>
      <w:r>
        <w:t xml:space="preserve"> </w:t>
      </w:r>
      <w:r>
        <w:t xml:space="preserve">α1-adrenergic and fibrotic target, and downregulates the Complex V</w:t>
      </w:r>
      <w:r>
        <w:t xml:space="preserve"> </w:t>
      </w:r>
      <w:r>
        <w:t xml:space="preserve">subunit Atp5mk (logFC = −0.37). The broader CTLvPHE signature</w:t>
      </w:r>
      <w:r>
        <w:t xml:space="preserve"> </w:t>
      </w:r>
      <w:r>
        <w:t xml:space="preserve">captures extracellular-matrix remodeling (Postn, Fn1 trending), early</w:t>
      </w:r>
      <w:r>
        <w:t xml:space="preserve"> </w:t>
      </w:r>
      <w:r>
        <w:t xml:space="preserve">OXPHOS depression, and mitoribosomal stress (Mrpl9 logFC = +2.12), all</w:t>
      </w:r>
      <w:r>
        <w:t xml:space="preserve"> </w:t>
      </w:r>
      <w:r>
        <w:t xml:space="preserve">consistent with Hahn et al. 2014 (PMID 24794531; NADPH oxidase-2 / ROS axis)</w:t>
      </w:r>
      <w:r>
        <w:t xml:space="preserve"> </w:t>
      </w:r>
      <w:r>
        <w:t xml:space="preserve">and Jeong et al. 2009 (PMID 19299911; STAT3 mitochondrial translocation</w:t>
      </w:r>
      <w:r>
        <w:t xml:space="preserve"> </w:t>
      </w:r>
      <w:r>
        <w:t xml:space="preserve">suppressing OXPHOS).</w:t>
      </w:r>
    </w:p>
    <w:p>
      <w:pPr>
        <w:pStyle w:val="BodyText"/>
      </w:pPr>
      <w:r>
        <w:rPr>
          <w:b/>
          <w:bCs/>
        </w:rPr>
        <w:t xml:space="preserve">Limitation that should be carried into Discussion.</w:t>
      </w:r>
      <w:r>
        <w:t xml:space="preserve"> </w:t>
      </w:r>
      <w:r>
        <w:t xml:space="preserve">The canonical</w:t>
      </w:r>
      <w:r>
        <w:t xml:space="preserve"> </w:t>
      </w:r>
      <w:r>
        <w:t xml:space="preserve">in-vivo cardiac-hypertrophy fetal-gene program (NPPA / NPPB / Myh7 / Acta1</w:t>
      </w:r>
      <w:r>
        <w:t xml:space="preserve"> </w:t>
      </w:r>
      <w:r>
        <w:t xml:space="preserve">upregulation) is not recovered at the protein level here: NPPA / NPPB were</w:t>
      </w:r>
      <w:r>
        <w:t xml:space="preserve"> </w:t>
      </w:r>
      <w:r>
        <w:t xml:space="preserve">not detected, and Myh7 / Acta1 / Stat3 / Cav3 / Tnnt2 returned essentially</w:t>
      </w:r>
      <w:r>
        <w:t xml:space="preserve"> </w:t>
      </w:r>
      <w:r>
        <w:t xml:space="preserve">flat logFC values (|logFC| &lt; 0.2, all FDR &gt; 0.8). This is consistent with</w:t>
      </w:r>
      <w:r>
        <w:t xml:space="preserve"> </w:t>
      </w:r>
      <w:r>
        <w:t xml:space="preserve">known H9c2 biology: cultured H9c2 cardiomyoblasts express embryonic</w:t>
      </w:r>
      <w:r>
        <w:t xml:space="preserve"> </w:t>
      </w:r>
      <w:r>
        <w:t xml:space="preserve">sarcomeric isoforms (e.g. Myh3 — which IS upregulated under Transplant)</w:t>
      </w:r>
      <w:r>
        <w:t xml:space="preserve"> </w:t>
      </w:r>
      <w:r>
        <w:t xml:space="preserve">rather than reactivating the adult fetal-gene reprogram seen in cardiomyocyte</w:t>
      </w:r>
      <w:r>
        <w:t xml:space="preserve"> </w:t>
      </w:r>
      <w:r>
        <w:t xml:space="preserve">hypertrophy in vivo. The hypertrophy signature recovered here should therefore</w:t>
      </w:r>
      <w:r>
        <w:t xml:space="preserve"> </w:t>
      </w:r>
      <w:r>
        <w:t xml:space="preserve">be interpreted as the</w:t>
      </w:r>
      <w:r>
        <w:t xml:space="preserve"> </w:t>
      </w:r>
      <w:r>
        <w:rPr>
          <w:b/>
          <w:bCs/>
        </w:rPr>
        <w:t xml:space="preserve">fibrotic + early-OXPHOS arm</w:t>
      </w:r>
      <w:r>
        <w:t xml:space="preserve"> </w:t>
      </w:r>
      <w:r>
        <w:t xml:space="preserve">of PHE α1-adrenergic</w:t>
      </w:r>
      <w:r>
        <w:t xml:space="preserve"> </w:t>
      </w:r>
      <w:r>
        <w:t xml:space="preserve">stress, not the full in-vivo fetal-gene reprogram.</w:t>
      </w:r>
    </w:p>
    <w:bookmarkEnd w:id="18"/>
    <w:bookmarkStart w:id="19" w:name="X6571e2ac68faa037ba03a1fd24977bf11bda411"/>
    <w:p>
      <w:pPr>
        <w:pStyle w:val="Heading2"/>
      </w:pPr>
      <w:r>
        <w:t xml:space="preserve">CTLvMITO — mitochondrial transplant in healthy cells</w:t>
      </w:r>
    </w:p>
    <w:p>
      <w:pPr>
        <w:pStyle w:val="FirstParagraph"/>
      </w:pPr>
      <w:r>
        <w:t xml:space="preserve">Top-Π hits are dominated by mitochondrial proteins: Aldh3a1 (logFC = +1.80,</w:t>
      </w:r>
      <w:r>
        <w:t xml:space="preserve"> </w:t>
      </w:r>
      <w:r>
        <w:t xml:space="preserve">FDR = 6 × 10⁻⁸), Vdac1 (logFC = +0.56, FDR = 2 × 10⁻⁴), Vdac2 (logFC = +0.42,</w:t>
      </w:r>
      <w:r>
        <w:t xml:space="preserve"> </w:t>
      </w:r>
      <w:r>
        <w:t xml:space="preserve">FDR = 6 × 10⁻³), and the mtDNA-encoded Mt-nd4 (logFC = +0.99). Combined with</w:t>
      </w:r>
      <w:r>
        <w:t xml:space="preserve"> </w:t>
      </w:r>
      <w:r>
        <w:t xml:space="preserve">F02’s MitoCarta-pathway NES profile and F06’s Mitoribosome + Complex V camera</w:t>
      </w:r>
      <w:r>
        <w:t xml:space="preserve"> </w:t>
      </w:r>
      <w:r>
        <w:t xml:space="preserve">signal, the data describe organelle-scale cargo delivery — outer membrane</w:t>
      </w:r>
      <w:r>
        <w:t xml:space="preserve"> </w:t>
      </w:r>
      <w:r>
        <w:t xml:space="preserve">channels, matrix enzymes, mtDNA-encoded subunits — into recipient cardiomyoblasts.</w:t>
      </w:r>
      <w:r>
        <w:t xml:space="preserve"> </w:t>
      </w:r>
      <w:r>
        <w:t xml:space="preserve">This recapitulates the cell-autonomous mitochondrial-delivery signature</w:t>
      </w:r>
      <w:r>
        <w:t xml:space="preserve"> </w:t>
      </w:r>
      <w:r>
        <w:t xml:space="preserve">described by Masuzawa et al. 2013 (PMID 23355340).</w:t>
      </w:r>
    </w:p>
    <w:bookmarkEnd w:id="19"/>
    <w:bookmarkStart w:id="20" w:name="phevphe_mito-rescue"/>
    <w:p>
      <w:pPr>
        <w:pStyle w:val="Heading2"/>
      </w:pPr>
      <w:r>
        <w:t xml:space="preserve">PHEvPHE_MITO — rescue</w:t>
      </w:r>
    </w:p>
    <w:p>
      <w:pPr>
        <w:pStyle w:val="FirstParagraph"/>
      </w:pPr>
      <w:r>
        <w:t xml:space="preserve">The rescue contrast carries an even stronger mito-delivery signature than</w:t>
      </w:r>
      <w:r>
        <w:t xml:space="preserve"> </w:t>
      </w:r>
      <w:r>
        <w:t xml:space="preserve">CTLvMITO: all three VDAC isoforms (Vdac1 + 0.71, Vdac2 + 0.57, Vdac3 + 0.49)</w:t>
      </w:r>
      <w:r>
        <w:t xml:space="preserve"> </w:t>
      </w:r>
      <w:r>
        <w:t xml:space="preserve">plus Aldh3a1 (+1.83) appear in the top 25 by Π. The peroxiredoxin-like</w:t>
      </w:r>
      <w:r>
        <w:t xml:space="preserve"> </w:t>
      </w:r>
      <w:r>
        <w:t xml:space="preserve">Prxl2a (+1.09) suggests an antioxidant arm consistent with rescue of</w:t>
      </w:r>
      <w:r>
        <w:t xml:space="preserve"> </w:t>
      </w:r>
      <w:r>
        <w:t xml:space="preserve">PHE-driven NOX2 / ROS production (Hahn 2014). The F04 concordance ρ = −0.42</w:t>
      </w:r>
      <w:r>
        <w:t xml:space="preserve"> </w:t>
      </w:r>
      <w:r>
        <w:t xml:space="preserve">and F06 camera OXPHOS_all p = 3.2 × 10⁻⁵ make this the strongest single</w:t>
      </w:r>
      <w:r>
        <w:t xml:space="preserve"> </w:t>
      </w:r>
      <w:r>
        <w:t xml:space="preserve">biological signal in the dataset and align with Doulamis et al. 2024</w:t>
      </w:r>
      <w:r>
        <w:t xml:space="preserve"> </w:t>
      </w:r>
      <w:r>
        <w:t xml:space="preserve">(PMID 39732955) mitochondrial-transplant normalization of the proteome</w:t>
      </w:r>
      <w:r>
        <w:t xml:space="preserve"> </w:t>
      </w:r>
      <w:r>
        <w:t xml:space="preserve">in ischemia-reperfusion injury.</w:t>
      </w:r>
    </w:p>
    <w:bookmarkEnd w:id="20"/>
    <w:bookmarkStart w:id="21" w:name="interaction-descriptive-only"/>
    <w:p>
      <w:pPr>
        <w:pStyle w:val="Heading2"/>
      </w:pPr>
      <w:r>
        <w:t xml:space="preserve">Interaction — descriptive only</w:t>
      </w:r>
    </w:p>
    <w:p>
      <w:pPr>
        <w:pStyle w:val="FirstParagraph"/>
      </w:pPr>
      <w:r>
        <w:t xml:space="preserve">Zero FDR-significant proteins, consistent with the N = 24 power constraint.</w:t>
      </w:r>
      <w:r>
        <w:t xml:space="preserve"> </w:t>
      </w:r>
      <w:r>
        <w:t xml:space="preserve">Direction-only inspection shows a faint mito-axis signal (Ndufb4l4 logFC = +0.83,</w:t>
      </w:r>
      <w:r>
        <w:t xml:space="preserve"> </w:t>
      </w:r>
      <w:r>
        <w:t xml:space="preserve">Mrpl27 logFC = +0.76) that should not be interpreted further given the</w:t>
      </w:r>
      <w:r>
        <w:t xml:space="preserve"> </w:t>
      </w:r>
      <w:r>
        <w:t xml:space="preserve">adj-P-value range (0.34 - 0.98). The</w:t>
      </w:r>
      <w:r>
        <w:t xml:space="preserve"> </w:t>
      </w:r>
      <w:r>
        <w:t xml:space="preserve">“Interaction underpowered at N = 24”</w:t>
      </w:r>
      <w:r>
        <w:t xml:space="preserve"> </w:t>
      </w:r>
      <w:r>
        <w:t xml:space="preserve">caveat (M4) on every composite figure footer is the appropriate</w:t>
      </w:r>
      <w:r>
        <w:t xml:space="preserve"> </w:t>
      </w:r>
      <w:r>
        <w:t xml:space="preserve">representation.</w:t>
      </w:r>
    </w:p>
    <w:bookmarkEnd w:id="21"/>
    <w:bookmarkEnd w:id="22"/>
    <w:bookmarkStart w:id="23" w:name="Xca8ade592d526f86cac6fc69026ab968d00430b"/>
    <w:p>
      <w:pPr>
        <w:pStyle w:val="Heading1"/>
      </w:pPr>
      <w:r>
        <w:t xml:space="preserve">Open caveats for the manuscript Discussion / Limitations section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H9c2 cell-line caveat.</w:t>
      </w:r>
      <w:r>
        <w:t xml:space="preserve"> </w:t>
      </w:r>
      <w:r>
        <w:t xml:space="preserve">H9c2 cardiomyoblasts under-express the in-vivo</w:t>
      </w:r>
      <w:r>
        <w:t xml:space="preserve"> </w:t>
      </w:r>
      <w:r>
        <w:t xml:space="preserve">fetal-gene hypertrophy reprogram. PHE-induced hypertrophy is recovered</w:t>
      </w:r>
      <w:r>
        <w:t xml:space="preserve"> </w:t>
      </w:r>
      <w:r>
        <w:t xml:space="preserve">as fibrotic and early-OXPHOS depression signatures rather than NPPA / NPPB</w:t>
      </w:r>
      <w:r>
        <w:t xml:space="preserve"> </w:t>
      </w:r>
      <w:r>
        <w:t xml:space="preserve">/ Myh7 upregulation.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Reinjection imbalance.</w:t>
      </w:r>
      <w:r>
        <w:t xml:space="preserve"> </w:t>
      </w:r>
      <w:r>
        <w:t xml:space="preserve">Four r-suffixed re-injection samples are</w:t>
      </w:r>
      <w:r>
        <w:t xml:space="preserve"> </w:t>
      </w:r>
      <w:r>
        <w:t xml:space="preserve">imbalanced across groups (Ctl 1, Mito 0, PHE 2, PHE_Mito 3). Sensitivity</w:t>
      </w:r>
      <w:r>
        <w:t xml:space="preserve"> </w:t>
      </w:r>
      <w:r>
        <w:t xml:space="preserve">refits show core contrasts robust (Spearman ρ 0.95-0.99); the secondary</w:t>
      </w:r>
      <w:r>
        <w:t xml:space="preserve"> </w:t>
      </w:r>
      <w:r>
        <w:t xml:space="preserve">MITOvPHE_MITO comparison drops to ρ = 0.82.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N = 24 (n = 6 / group) supports the three primary contrasts</w:t>
      </w:r>
      <w:r>
        <w:t xml:space="preserve"> </w:t>
      </w:r>
      <w:r>
        <w:t xml:space="preserve">but underpowers the Interaction term and the AlteredPQR pair-stoichiometry</w:t>
      </w:r>
      <w:r>
        <w:t xml:space="preserve"> </w:t>
      </w:r>
      <w:r>
        <w:t xml:space="preserve">tests. The covariation supplement (cohesion 0.02-0.13) is flagged</w:t>
      </w:r>
      <w:r>
        <w:t xml:space="preserve"> </w:t>
      </w:r>
      <w:r>
        <w:t xml:space="preserve">accordingly.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WGCNA circularity.</w:t>
      </w:r>
      <w:r>
        <w:t xml:space="preserve"> </w:t>
      </w:r>
      <w:r>
        <w:t xml:space="preserve">Module eigengene LMMs use the same dataset that</w:t>
      </w:r>
      <w:r>
        <w:t xml:space="preserve"> </w:t>
      </w:r>
      <w:r>
        <w:t xml:space="preserve">the modules were derived from. The WGCNA supplement is explicitly</w:t>
      </w:r>
      <w:r>
        <w:t xml:space="preserve"> </w:t>
      </w:r>
      <w:r>
        <w:t xml:space="preserve">labeled EXPLORATORY and should not be used as an independent statistical</w:t>
      </w:r>
      <w:r>
        <w:t xml:space="preserve"> </w:t>
      </w:r>
      <w:r>
        <w:t xml:space="preserve">claim in the main results.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In-vitro α1-adrenergic stimulation.</w:t>
      </w:r>
      <w:r>
        <w:t xml:space="preserve"> </w:t>
      </w:r>
      <w:r>
        <w:t xml:space="preserve">Phenylephrine at the doses used</w:t>
      </w:r>
      <w:r>
        <w:t xml:space="preserve"> </w:t>
      </w:r>
      <w:r>
        <w:t xml:space="preserve">recapitulates one arm (NOX2 / ROS, mitochondrial-STAT3) of in-vivo</w:t>
      </w:r>
      <w:r>
        <w:t xml:space="preserve"> </w:t>
      </w:r>
      <w:r>
        <w:t xml:space="preserve">pressure-overload cardiac stress; it is not a complete model of clinical</w:t>
      </w:r>
      <w:r>
        <w:t xml:space="preserve"> </w:t>
      </w:r>
      <w:r>
        <w:t xml:space="preserve">heart failure.</w:t>
      </w:r>
    </w:p>
    <w:bookmarkEnd w:id="23"/>
    <w:bookmarkStart w:id="24" w:name="references-verified-pmids"/>
    <w:p>
      <w:pPr>
        <w:pStyle w:val="Heading1"/>
      </w:pPr>
      <w:r>
        <w:t xml:space="preserve">References (verified PMIDs)</w:t>
      </w:r>
    </w:p>
    <w:p>
      <w:pPr>
        <w:pStyle w:val="Compact"/>
        <w:numPr>
          <w:ilvl w:val="0"/>
          <w:numId w:val="1003"/>
        </w:numPr>
      </w:pPr>
      <w:r>
        <w:t xml:space="preserve">Hahn NE, Musters RJ, Fritz JM, et al. Early NADPH oxidase-2 activation is</w:t>
      </w:r>
      <w:r>
        <w:t xml:space="preserve"> </w:t>
      </w:r>
      <w:r>
        <w:t xml:space="preserve">crucial in phenylephrine-induced hypertrophy of H9c2 cells.</w:t>
      </w:r>
      <w:r>
        <w:t xml:space="preserve"> </w:t>
      </w:r>
      <w:r>
        <w:t xml:space="preserve">Cell Signal. 2014;26(9):1818-24. PMID 24794531.</w:t>
      </w:r>
    </w:p>
    <w:p>
      <w:pPr>
        <w:pStyle w:val="Compact"/>
        <w:numPr>
          <w:ilvl w:val="0"/>
          <w:numId w:val="1003"/>
        </w:numPr>
      </w:pPr>
      <w:r>
        <w:t xml:space="preserve">Jeong K, Kwon H, Min C, Pak Y. Modulation of the caveolin-3 localization</w:t>
      </w:r>
      <w:r>
        <w:t xml:space="preserve"> </w:t>
      </w:r>
      <w:r>
        <w:t xml:space="preserve">to caveolae and STAT3 to mitochondria by catecholamine-induced cardiac</w:t>
      </w:r>
      <w:r>
        <w:t xml:space="preserve"> </w:t>
      </w:r>
      <w:r>
        <w:t xml:space="preserve">hypertrophy in H9c2 cardiomyoblasts. Exp Mol Med. 2009;41(4):226-35.</w:t>
      </w:r>
      <w:r>
        <w:t xml:space="preserve"> </w:t>
      </w:r>
      <w:r>
        <w:t xml:space="preserve">PMID 19299911.</w:t>
      </w:r>
    </w:p>
    <w:p>
      <w:pPr>
        <w:pStyle w:val="Compact"/>
        <w:numPr>
          <w:ilvl w:val="0"/>
          <w:numId w:val="1003"/>
        </w:numPr>
      </w:pPr>
      <w:r>
        <w:t xml:space="preserve">Masuzawa A, Black KM, Pacak CA, et al. Transplantation of autologously</w:t>
      </w:r>
      <w:r>
        <w:t xml:space="preserve"> </w:t>
      </w:r>
      <w:r>
        <w:t xml:space="preserve">derived mitochondria protects the heart from ischemia-reperfusion injury.</w:t>
      </w:r>
      <w:r>
        <w:t xml:space="preserve"> </w:t>
      </w:r>
      <w:r>
        <w:t xml:space="preserve">Am J Physiol Heart Circ Physiol. 2013;304(7):H966-82. PMID 23355340.</w:t>
      </w:r>
    </w:p>
    <w:p>
      <w:pPr>
        <w:pStyle w:val="Compact"/>
        <w:numPr>
          <w:ilvl w:val="0"/>
          <w:numId w:val="1003"/>
        </w:numPr>
      </w:pPr>
      <w:r>
        <w:t xml:space="preserve">Doulamis IP, Tzani A, Alemany VS, et al. Mitochondrial transplantation</w:t>
      </w:r>
      <w:r>
        <w:t xml:space="preserve"> </w:t>
      </w:r>
      <w:r>
        <w:t xml:space="preserve">normalizes transcriptomic and proteomic shift associated with ischemia</w:t>
      </w:r>
      <w:r>
        <w:t xml:space="preserve"> </w:t>
      </w:r>
      <w:r>
        <w:t xml:space="preserve">reperfusion injury in neonatal hearts donated after circulatory death.</w:t>
      </w:r>
      <w:r>
        <w:t xml:space="preserve"> </w:t>
      </w:r>
      <w:r>
        <w:t xml:space="preserve">Sci Rep. 2024;14(1):31236. PMID 39732955.</w:t>
      </w:r>
    </w:p>
    <w:p>
      <w:pPr>
        <w:pStyle w:val="Compact"/>
        <w:numPr>
          <w:ilvl w:val="0"/>
          <w:numId w:val="1003"/>
        </w:numPr>
      </w:pPr>
      <w:r>
        <w:t xml:space="preserve">Houtkooper RH, Mouchiroud L, Ryu D, et al. Mitonuclear protein imbalance</w:t>
      </w:r>
      <w:r>
        <w:t xml:space="preserve"> </w:t>
      </w:r>
      <w:r>
        <w:t xml:space="preserve">as a conserved longevity mechanism. Nature. 2013;497(7450):451-7.</w:t>
      </w:r>
      <w:r>
        <w:t xml:space="preserve"> </w:t>
      </w:r>
      <w:r>
        <w:t xml:space="preserve">PMID 23698443.</w:t>
      </w:r>
    </w:p>
    <w:p>
      <w:pPr>
        <w:pStyle w:val="Compact"/>
        <w:numPr>
          <w:ilvl w:val="0"/>
          <w:numId w:val="1003"/>
        </w:numPr>
      </w:pPr>
      <w:r>
        <w:t xml:space="preserve">Rath S, Sharma R, Gupta R, et al. MitoCarta3.0: an updated mitochondrial</w:t>
      </w:r>
      <w:r>
        <w:t xml:space="preserve"> </w:t>
      </w:r>
      <w:r>
        <w:t xml:space="preserve">proteome now with sub-organelle localization and pathway annotations.</w:t>
      </w:r>
      <w:r>
        <w:t xml:space="preserve"> </w:t>
      </w:r>
      <w:r>
        <w:t xml:space="preserve">Nucleic Acids Res. 2021;49(D1):D1541-D1547. PMID 33174596.</w:t>
      </w:r>
    </w:p>
    <w:p>
      <w:pPr>
        <w:pStyle w:val="Compact"/>
        <w:numPr>
          <w:ilvl w:val="0"/>
          <w:numId w:val="1003"/>
        </w:numPr>
      </w:pPr>
      <w:r>
        <w:t xml:space="preserve">Xiao Y, Hsiao TH, Suresh U, et al. A novel significance score for gene</w:t>
      </w:r>
      <w:r>
        <w:t xml:space="preserve"> </w:t>
      </w:r>
      <w:r>
        <w:t xml:space="preserve">selection and ranking. Bioinformatics. 2014;30(6):801-7. PMID 22321699.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A_Mito_2026 — Results and interpretation (candidate manuscript text)</dc:title>
  <dc:creator/>
  <cp:keywords/>
  <dcterms:created xsi:type="dcterms:W3CDTF">2026-06-04T15:01:50Z</dcterms:created>
  <dcterms:modified xsi:type="dcterms:W3CDTF">2026-06-04T15:01:50Z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2026-06-04</vt:lpwstr>
  </property>
</Properties>
</file>