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Mitochondrial Transplant in PHE-Stressed H9c2 Cardiomyoblasts — Methods and Results</w:t>
      </w:r>
    </w:p>
    <w:p>
      <w:pPr>
        <w:pStyle w:val="Subtitle"/>
      </w:pPr>
      <w:r>
        <w:t xml:space="preserve">Documentation deliverable; not a manuscript draft</w:t>
      </w:r>
    </w:p>
    <w:p>
      <w:pPr>
        <w:pStyle w:val="Date"/>
      </w:pPr>
      <w:r>
        <w:t xml:space="preserve">2026-06-09</w:t>
      </w:r>
    </w:p>
    <w:bookmarkStart w:id="9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describes the methods and results from a proteomic analysis of</w:t>
      </w:r>
      <w:r>
        <w:t xml:space="preserve"> </w:t>
      </w:r>
      <w:r>
        <w:t xml:space="preserve">H9c2 rat cardiomyoblasts treated with phenylephrine (PHE) and/or mitochondrial</w:t>
      </w:r>
      <w:r>
        <w:t xml:space="preserve"> </w:t>
      </w:r>
      <w:r>
        <w:t xml:space="preserve">transplant. It is prepared as a documentation deliverable to be folded into a</w:t>
      </w:r>
      <w:r>
        <w:t xml:space="preserve"> </w:t>
      </w:r>
      <w:r>
        <w:t xml:space="preserve">separate project led by another investigator;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manuscript draft</w:t>
      </w:r>
      <w:r>
        <w:t xml:space="preserve"> </w:t>
      </w:r>
      <w:r>
        <w:t xml:space="preserve">in its own right. The level of detail here is intentionally fuller than would</w:t>
      </w:r>
      <w:r>
        <w:t xml:space="preserve"> </w:t>
      </w:r>
      <w:r>
        <w:t xml:space="preserve">appear in a journal Methods or Results section so the recipient has enough</w:t>
      </w:r>
      <w:r>
        <w:t xml:space="preserve"> </w:t>
      </w:r>
      <w:r>
        <w:t xml:space="preserve">context to (i) understand exactly what was done and why, (ii) decide which</w:t>
      </w:r>
      <w:r>
        <w:t xml:space="preserve"> </w:t>
      </w:r>
      <w:r>
        <w:t xml:space="preserve">parts to keep verbatim, (iii) compress to the target journal’s word count, and</w:t>
      </w:r>
      <w:r>
        <w:t xml:space="preserve"> </w:t>
      </w:r>
      <w:r>
        <w:t xml:space="preserve">(iv) write the surrounding Introduction and Discussion.</w:t>
      </w:r>
    </w:p>
    <w:p>
      <w:pPr>
        <w:pStyle w:val="BodyText"/>
      </w:pPr>
      <w:r>
        <w:t xml:space="preserve">Every analytical choice is cited to peer-reviewed primary literature; all</w:t>
      </w:r>
      <w:r>
        <w:t xml:space="preserve"> </w:t>
      </w:r>
      <w:r>
        <w:t xml:space="preserve">PMIDs were verified against PubMed during writing.</w:t>
      </w:r>
    </w:p>
    <w:p>
      <w:r>
        <w:pict>
          <v:rect style="width:0;height:1.5pt" o:hralign="center" o:hrstd="t" o:hr="t"/>
        </w:pict>
      </w:r>
    </w:p>
    <w:bookmarkEnd w:id="9"/>
    <w:bookmarkStart w:id="25" w:name="methods"/>
    <w:p>
      <w:pPr>
        <w:pStyle w:val="Heading1"/>
      </w:pPr>
      <w:r>
        <w:t xml:space="preserve">Methods</w:t>
      </w:r>
    </w:p>
    <w:bookmarkStart w:id="10" w:name="experimental-design"/>
    <w:p>
      <w:pPr>
        <w:pStyle w:val="Heading2"/>
      </w:pPr>
      <w:r>
        <w:t xml:space="preserve">Experimental design</w:t>
      </w:r>
    </w:p>
    <w:p>
      <w:pPr>
        <w:pStyle w:val="FirstParagraph"/>
      </w:pPr>
      <w:r>
        <w:t xml:space="preserve">H9c2 rat cardiomyoblasts (ATCC) were assigned to a 2 × 2 factorial design</w:t>
      </w:r>
      <w:r>
        <w:t xml:space="preserve"> </w:t>
      </w:r>
      <w:r>
        <w:t xml:space="preserve">crossing phenylephrine treatment (PHE − / +) with mitochondrial transplant</w:t>
      </w:r>
      <w:r>
        <w:t xml:space="preserve"> </w:t>
      </w:r>
      <w:r>
        <w:t xml:space="preserve">(Mito − / +), yielding four groups: Ctl, Mito, PHE, and PHE_Mito. Each</w:t>
      </w:r>
      <w:r>
        <w:t xml:space="preserve"> </w:t>
      </w:r>
      <w:r>
        <w:t xml:space="preserve">group contained six biological replicates (N = 24 total samples). Replicates</w:t>
      </w:r>
      <w:r>
        <w:t xml:space="preserve"> </w:t>
      </w:r>
      <w:r>
        <w:t xml:space="preserve">were structured as paired plate/day/passage blocks across the four groups,</w:t>
      </w:r>
      <w:r>
        <w:t xml:space="preserve"> </w:t>
      </w:r>
      <w:r>
        <w:t xml:space="preserve">so each replicate index (1–6) corresponds to a matched set of one well from</w:t>
      </w:r>
      <w:r>
        <w:t xml:space="preserve"> </w:t>
      </w:r>
      <w:r>
        <w:t xml:space="preserve">each of the four groups processed together. This block structure was carried</w:t>
      </w:r>
      <w:r>
        <w:t xml:space="preserve"> </w:t>
      </w:r>
      <w:r>
        <w:t xml:space="preserve">through statistical modeling as described below.</w:t>
      </w:r>
    </w:p>
    <w:p>
      <w:pPr>
        <w:pStyle w:val="BodyText"/>
      </w:pPr>
      <w:r>
        <w:t xml:space="preserve">A small number of samples (n = 4) were re-injected on the mass spectrometer</w:t>
      </w:r>
      <w:r>
        <w:t xml:space="preserve"> </w:t>
      </w:r>
      <w:r>
        <w:t xml:space="preserve">to recover failed acquisitions. These re-injection samples are denoted by an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suffix and are distributed across groups as Ctl = 1, Mito = 0, PHE = 2,</w:t>
      </w:r>
      <w:r>
        <w:t xml:space="preserve"> </w:t>
      </w:r>
      <w:r>
        <w:t xml:space="preserve">PHE_Mito = 3. The imbalance was carried forward as a documented sensitivity</w:t>
      </w:r>
      <w:r>
        <w:t xml:space="preserve"> </w:t>
      </w:r>
      <w:r>
        <w:t xml:space="preserve">analysis rather than corrected, because the small absolute counts do not</w:t>
      </w:r>
      <w:r>
        <w:t xml:space="preserve"> </w:t>
      </w:r>
      <w:r>
        <w:t xml:space="preserve">support a stratified design re-fit at this N.</w:t>
      </w:r>
    </w:p>
    <w:p>
      <w:pPr>
        <w:pStyle w:val="BodyText"/>
      </w:pPr>
      <w:r>
        <w:t xml:space="preserve">Four primary contrasts and one secondary contrast were defined: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Biological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CTLvPHE</w:t>
            </w:r>
          </w:p>
        </w:tc>
        <w:tc>
          <w:tcPr/>
          <w:p>
            <w:pPr>
              <w:pStyle w:val="Compact"/>
            </w:pPr>
            <w:r>
              <w:t xml:space="preserve">PHE − Ctl</w:t>
            </w:r>
          </w:p>
        </w:tc>
        <w:tc>
          <w:tcPr/>
          <w:p>
            <w:pPr>
              <w:pStyle w:val="Compact"/>
            </w:pPr>
            <w:r>
              <w:t xml:space="preserve">Does α1-adrenergic stress remodel the cardiomyoblast proteome?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CTLvMITO</w:t>
            </w:r>
          </w:p>
        </w:tc>
        <w:tc>
          <w:tcPr/>
          <w:p>
            <w:pPr>
              <w:pStyle w:val="Compact"/>
            </w:pPr>
            <w:r>
              <w:t xml:space="preserve">Mito − Ctl</w:t>
            </w:r>
          </w:p>
        </w:tc>
        <w:tc>
          <w:tcPr/>
          <w:p>
            <w:pPr>
              <w:pStyle w:val="Compact"/>
            </w:pPr>
            <w:r>
              <w:t xml:space="preserve">Does mitochondrial transplant leave a cell-autonomous signature in healthy cells?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PHEvPHE_MITO</w:t>
            </w:r>
          </w:p>
        </w:tc>
        <w:tc>
          <w:tcPr/>
          <w:p>
            <w:pPr>
              <w:pStyle w:val="Compact"/>
            </w:pPr>
            <w:r>
              <w:t xml:space="preserve">PHE_Mito − PHE</w:t>
            </w:r>
          </w:p>
        </w:tc>
        <w:tc>
          <w:tcPr/>
          <w:p>
            <w:pPr>
              <w:pStyle w:val="Compact"/>
            </w:pPr>
            <w:r>
              <w:t xml:space="preserve">Does mitochondrial transplant rescue the PHE-stressed proteome?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(PHE_Mito − PHE) − (Mito − Ctl)</w:t>
            </w:r>
          </w:p>
        </w:tc>
        <w:tc>
          <w:tcPr/>
          <w:p>
            <w:pPr>
              <w:pStyle w:val="Compact"/>
            </w:pPr>
            <w:r>
              <w:t xml:space="preserve">Does PHE alter what mitochondrial transplant does? (descriptive at N = 24; not formally interpreted)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MITOvPHE_MITO (secondary)</w:t>
            </w:r>
          </w:p>
        </w:tc>
        <w:tc>
          <w:tcPr/>
          <w:p>
            <w:pPr>
              <w:pStyle w:val="Compact"/>
            </w:pPr>
            <w:r>
              <w:t xml:space="preserve">PHE_Mito − Mito</w:t>
            </w:r>
          </w:p>
        </w:tc>
        <w:tc>
          <w:tcPr/>
          <w:p>
            <w:pPr>
              <w:pStyle w:val="Compact"/>
            </w:pPr>
            <w:r>
              <w:t xml:space="preserve">What does PHE do on top of mitochondrial transplant? Used for sensitivity reporting only.</w:t>
            </w:r>
          </w:p>
        </w:tc>
      </w:tr>
    </w:tbl>
    <w:bookmarkEnd w:id="10"/>
    <w:bookmarkStart w:id="11" w:name="X3950413d3551e63a5cd7c48f530390aef4aad70"/>
    <w:p>
      <w:pPr>
        <w:pStyle w:val="Heading2"/>
      </w:pPr>
      <w:r>
        <w:t xml:space="preserve">Mass spectrometry and protein quantification</w:t>
      </w:r>
    </w:p>
    <w:p>
      <w:pPr>
        <w:pStyle w:val="FirstParagraph"/>
      </w:pPr>
      <w:r>
        <w:t xml:space="preserve">Label-free quantitative mass spectrometry was performed upstream of the</w:t>
      </w:r>
      <w:r>
        <w:t xml:space="preserve"> </w:t>
      </w:r>
      <w:r>
        <w:t xml:space="preserve">analyses described here. Protein-level intensities were exported as a</w:t>
      </w:r>
      <w:r>
        <w:t xml:space="preserve"> </w:t>
      </w:r>
      <w:r>
        <w:t xml:space="preserve">pre-processed matrix (4,813 proteins × 24 samples after standard data-matrix</w:t>
      </w:r>
      <w:r>
        <w:t xml:space="preserve"> </w:t>
      </w:r>
      <w:r>
        <w:t xml:space="preserve">filtering). All downstream analyses in this document begin from this</w:t>
      </w:r>
      <w:r>
        <w:t xml:space="preserve"> </w:t>
      </w:r>
      <w:r>
        <w:t xml:space="preserve">protein-level matrix; no peptide-level reprocessing was performed.</w:t>
      </w:r>
    </w:p>
    <w:bookmarkEnd w:id="11"/>
    <w:bookmarkStart w:id="12" w:name="quality-control-and-normalization"/>
    <w:p>
      <w:pPr>
        <w:pStyle w:val="Heading2"/>
      </w:pPr>
      <w:r>
        <w:t xml:space="preserve">Quality control and normalization</w:t>
      </w:r>
    </w:p>
    <w:p>
      <w:pPr>
        <w:pStyle w:val="FirstParagraph"/>
      </w:pPr>
      <w:r>
        <w:t xml:space="preserve">Cyclic loess normalization (</w:t>
      </w:r>
      <w:r>
        <w:rPr>
          <w:rStyle w:val="VerbatimChar"/>
        </w:rPr>
        <w:t xml:space="preserve">cycloess</w:t>
      </w:r>
      <w:r>
        <w:t xml:space="preserve">) was applied via the</w:t>
      </w:r>
      <w:r>
        <w:t xml:space="preserve"> </w:t>
      </w:r>
      <w:r>
        <w:rPr>
          <w:b/>
          <w:bCs/>
        </w:rPr>
        <w:t xml:space="preserve">proteoDA</w:t>
      </w:r>
      <w:r>
        <w:t xml:space="preserve"> </w:t>
      </w:r>
      <w:r>
        <w:t xml:space="preserve">package using its standard normalization wrapper. Sample-level quality</w:t>
      </w:r>
      <w:r>
        <w:t xml:space="preserve"> </w:t>
      </w:r>
      <w:r>
        <w:t xml:space="preserve">control followed a four-method consensus framework requiring ≥ 3 of 4</w:t>
      </w:r>
      <w:r>
        <w:t xml:space="preserve"> </w:t>
      </w:r>
      <w:r>
        <w:t xml:space="preserve">diagnostic checks to flag a sample as an outlier; no samples were excluded</w:t>
      </w:r>
      <w:r>
        <w:t xml:space="preserve"> </w:t>
      </w:r>
      <w:r>
        <w:t xml:space="preserve">from the final analysis under this criterion.</w:t>
      </w:r>
    </w:p>
    <w:bookmarkEnd w:id="12"/>
    <w:bookmarkStart w:id="13" w:name="missingness-handling-and-imputation"/>
    <w:p>
      <w:pPr>
        <w:pStyle w:val="Heading2"/>
      </w:pPr>
      <w:r>
        <w:t xml:space="preserve">Missingness handling and imputation</w:t>
      </w:r>
    </w:p>
    <w:p>
      <w:pPr>
        <w:pStyle w:val="FirstParagraph"/>
      </w:pPr>
      <w:r>
        <w:t xml:space="preserve">Proteins with missing values were classified into Missing-At-Random (MAR)</w:t>
      </w:r>
      <w:r>
        <w:t xml:space="preserve"> </w:t>
      </w:r>
      <w:r>
        <w:t xml:space="preserve">or Missing-Not-At-Random (MNAR) categories using the empirical Bayes</w:t>
      </w:r>
      <w:r>
        <w:t xml:space="preserve"> </w:t>
      </w:r>
      <w:r>
        <w:t xml:space="preserve">mixture model implemented in the</w:t>
      </w:r>
      <w:r>
        <w:t xml:space="preserve"> </w:t>
      </w:r>
      <w:r>
        <w:rPr>
          <w:b/>
          <w:bCs/>
        </w:rPr>
        <w:t xml:space="preserve">msImpute</w:t>
      </w:r>
      <w:r>
        <w:t xml:space="preserve"> </w:t>
      </w:r>
      <w:r>
        <w:t xml:space="preserve">Bioconductor package</w:t>
      </w:r>
      <w:r>
        <w:t xml:space="preserve"> </w:t>
      </w:r>
      <w:r>
        <w:t xml:space="preserve">(bioconductor.org/packages/msImpute).</w:t>
      </w:r>
    </w:p>
    <w:p>
      <w:pPr>
        <w:pStyle w:val="BodyText"/>
      </w:pPr>
      <w:r>
        <w:t xml:space="preserve">A single imputation strategy using</w:t>
      </w:r>
      <w:r>
        <w:t xml:space="preserve"> </w:t>
      </w:r>
      <w:r>
        <w:rPr>
          <w:b/>
          <w:bCs/>
        </w:rPr>
        <w:t xml:space="preserve">missForest</w:t>
      </w:r>
      <w:r>
        <w:t xml:space="preserve"> </w:t>
      </w:r>
      <w:r>
        <w:t xml:space="preserve">(Stekhoven and Bühlmann</w:t>
      </w:r>
      <w:r>
        <w:t xml:space="preserve"> </w:t>
      </w:r>
      <w:r>
        <w:t xml:space="preserve">2012) was then applied to every protein, regardless of MAR/MNAR</w:t>
      </w:r>
      <w:r>
        <w:t xml:space="preserve"> </w:t>
      </w:r>
      <w:r>
        <w:t xml:space="preserve">classification. A 3-method consensus (kmeans + logistic + left-tail</w:t>
      </w:r>
      <w:r>
        <w:t xml:space="preserve"> </w:t>
      </w:r>
      <w:r>
        <w:t xml:space="preserve">imputation) was computed in parallel only to derive an</w:t>
      </w:r>
      <w:r>
        <w:t xml:space="preserve"> </w:t>
      </w:r>
      <w:r>
        <w:rPr>
          <w:rStyle w:val="VerbatimChar"/>
        </w:rPr>
        <w:t xml:space="preserve">imputation_reliable</w:t>
      </w:r>
      <w:r>
        <w:t xml:space="preserve"> </w:t>
      </w:r>
      <w:r>
        <w:t xml:space="preserve">per-protein flag for reporting; the consensus was not used as the</w:t>
      </w:r>
      <w:r>
        <w:t xml:space="preserve"> </w:t>
      </w:r>
      <w:r>
        <w:t xml:space="preserve">imputation itself.</w:t>
      </w:r>
    </w:p>
    <w:p>
      <w:pPr>
        <w:pStyle w:val="BodyText"/>
      </w:pPr>
      <w:r>
        <w:t xml:space="preserve">The downstream split is important:</w:t>
      </w:r>
      <w:r>
        <w:t xml:space="preserve"> </w:t>
      </w:r>
      <w:r>
        <w:rPr>
          <w:b/>
          <w:bCs/>
        </w:rPr>
        <w:t xml:space="preserve">differential abundance analysis used the</w:t>
      </w:r>
      <w:r>
        <w:rPr>
          <w:b/>
          <w:bCs/>
        </w:rPr>
        <w:t xml:space="preserve"> </w:t>
      </w:r>
      <w:r>
        <w:rPr>
          <w:b/>
          <w:bCs/>
        </w:rPr>
        <w:t xml:space="preserve">non-imputed cyclic-loess matrix</w:t>
      </w:r>
      <w:r>
        <w:t xml:space="preserve"> </w:t>
      </w:r>
      <w:r>
        <w:t xml:space="preserve">(limma handles per-protein missingness</w:t>
      </w:r>
      <w:r>
        <w:t xml:space="preserve"> </w:t>
      </w:r>
      <w:r>
        <w:t xml:space="preserve">through its per-row regression model), while the imputed matrix was used</w:t>
      </w:r>
      <w:r>
        <w:t xml:space="preserve"> </w:t>
      </w:r>
      <w:r>
        <w:t xml:space="preserve">only for visualizations, principal-component analysis, WGCNA, and set</w:t>
      </w:r>
      <w:r>
        <w:t xml:space="preserve"> </w:t>
      </w:r>
      <w:r>
        <w:t xml:space="preserve">scoring where complete data are required.</w:t>
      </w:r>
    </w:p>
    <w:bookmarkEnd w:id="13"/>
    <w:bookmarkStart w:id="14" w:name="differential-abundance-analysis"/>
    <w:p>
      <w:pPr>
        <w:pStyle w:val="Heading2"/>
      </w:pPr>
      <w:r>
        <w:t xml:space="preserve">Differential abundance analysis</w:t>
      </w:r>
    </w:p>
    <w:p>
      <w:pPr>
        <w:pStyle w:val="FirstParagraph"/>
      </w:pPr>
      <w:r>
        <w:t xml:space="preserve">Differential abundance was tested with</w:t>
      </w:r>
      <w:r>
        <w:t xml:space="preserve"> </w:t>
      </w:r>
      <w:r>
        <w:rPr>
          <w:b/>
          <w:bCs/>
        </w:rPr>
        <w:t xml:space="preserve">limma</w:t>
      </w:r>
      <w:r>
        <w:t xml:space="preserve"> </w:t>
      </w:r>
      <w:r>
        <w:t xml:space="preserve">(Ritchie et al. 2015,</w:t>
      </w:r>
      <w:r>
        <w:t xml:space="preserve"> </w:t>
      </w:r>
      <w:r>
        <w:t xml:space="preserve">PMID 25605792) using the design formula</w:t>
      </w:r>
    </w:p>
    <w:p>
      <w:pPr>
        <w:pStyle w:val="SourceCode"/>
      </w:pPr>
      <w:r>
        <w:rPr>
          <w:rStyle w:val="VerbatimChar"/>
        </w:rPr>
        <w:t xml:space="preserve">~ 0 + group + (1 | Replicate)</w:t>
      </w:r>
    </w:p>
    <w:p>
      <w:pPr>
        <w:pStyle w:val="FirstParagraph"/>
      </w:pPr>
      <w:r>
        <w:t xml:space="preserve">routed through proteoDA’s</w:t>
      </w:r>
      <w:r>
        <w:t xml:space="preserve"> </w:t>
      </w:r>
      <w:r>
        <w:rPr>
          <w:rStyle w:val="VerbatimChar"/>
        </w:rPr>
        <w:t xml:space="preserve">fit_limma_model()</w:t>
      </w:r>
      <w:r>
        <w:t xml:space="preserve"> </w:t>
      </w:r>
      <w:r>
        <w:t xml:space="preserve">wrapper, which forwards the</w:t>
      </w:r>
      <w:r>
        <w:t xml:space="preserve"> </w:t>
      </w:r>
      <w:r>
        <w:t xml:space="preserve">Replicate term to limma’s</w:t>
      </w:r>
      <w:r>
        <w:t xml:space="preserve"> </w:t>
      </w:r>
      <w:r>
        <w:rPr>
          <w:rStyle w:val="VerbatimChar"/>
        </w:rPr>
        <w:t xml:space="preserve">duplicateCorrelation</w:t>
      </w:r>
      <w:r>
        <w:t xml:space="preserve"> </w:t>
      </w:r>
      <w:r>
        <w:t xml:space="preserve">interface. This treats</w:t>
      </w:r>
      <w:r>
        <w:t xml:space="preserve"> </w:t>
      </w:r>
      <w:r>
        <w:t xml:space="preserve">Replicate as a within-block correlation rather than a fixed effect,</w:t>
      </w:r>
      <w:r>
        <w:t xml:space="preserve"> </w:t>
      </w:r>
      <w:r>
        <w:t xml:space="preserve">correctly accounting for the paired-plate structure without consuming</w:t>
      </w:r>
      <w:r>
        <w:t xml:space="preserve"> </w:t>
      </w:r>
      <w:r>
        <w:t xml:space="preserve">five degrees of freedom for the six replicate indices.</w:t>
      </w:r>
    </w:p>
    <w:p>
      <w:pPr>
        <w:pStyle w:val="BodyText"/>
      </w:pPr>
      <w:r>
        <w:t xml:space="preserve">Empirical Bayes moderation was applied via</w:t>
      </w:r>
      <w:r>
        <w:t xml:space="preserve"> </w:t>
      </w:r>
      <w:r>
        <w:rPr>
          <w:rStyle w:val="VerbatimChar"/>
        </w:rPr>
        <w:t xml:space="preserve">eBayes()</w:t>
      </w:r>
      <w:r>
        <w:t xml:space="preserve">. The Benjamini-Hochberg</w:t>
      </w:r>
      <w:r>
        <w:t xml:space="preserve"> </w:t>
      </w:r>
      <w:r>
        <w:t xml:space="preserve">adjusted p-value (</w:t>
      </w:r>
      <w:r>
        <w:rPr>
          <w:rStyle w:val="VerbatimChar"/>
        </w:rPr>
        <w:t xml:space="preserve">adj.P.Val</w:t>
      </w:r>
      <w:r>
        <w:t xml:space="preserve">) was used at an exploratory threshold of</w:t>
      </w:r>
      <w:r>
        <w:t xml:space="preserve"> </w:t>
      </w:r>
      <w:r>
        <w:t xml:space="preserve">FDR &lt; 0.10. In addition, the</w:t>
      </w:r>
      <w:r>
        <w:t xml:space="preserve"> </w:t>
      </w:r>
      <w:r>
        <w:rPr>
          <w:b/>
          <w:bCs/>
        </w:rPr>
        <w:t xml:space="preserve">capital-pi (Π) significance score</w:t>
      </w:r>
      <w:r>
        <w:t xml:space="preserve"> </w:t>
      </w:r>
      <w:r>
        <w:t xml:space="preserve">from</w:t>
      </w:r>
      <w:r>
        <w:t xml:space="preserve"> </w:t>
      </w:r>
      <w:r>
        <w:t xml:space="preserve">Xiao et al. 2014 (PMID 22321699) was applied at Π &lt; 0.05, 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P-value</m:t>
              </m:r>
            </m:e>
            <m:sup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FC</m:t>
              </m:r>
              <m:r>
                <m:rPr>
                  <m:sty m:val="p"/>
                </m:rPr>
                <m:t>|</m:t>
              </m:r>
            </m:sup>
          </m:sSup>
        </m:oMath>
      </m:oMathPara>
    </w:p>
    <w:p>
      <w:pPr>
        <w:pStyle w:val="FirstParagraph"/>
      </w:pPr>
      <w:r>
        <w:t xml:space="preserve">The Π score is small when a protein has both a small p-value and a large</w:t>
      </w:r>
      <w:r>
        <w:t xml:space="preserve"> </w:t>
      </w:r>
      <w:r>
        <w:t xml:space="preserve">fold change, which weights signed effect size and statistical significance</w:t>
      </w:r>
      <w:r>
        <w:t xml:space="preserve"> </w:t>
      </w:r>
      <w:r>
        <w:t xml:space="preserve">together. Calling proteins as differentially abundant (DEPs) on Π &lt; 0.05</w:t>
      </w:r>
      <w:r>
        <w:t xml:space="preserve"> </w:t>
      </w:r>
      <w:r>
        <w:t xml:space="preserve">is a commonly-used effect-size-aware alternative to thresholding on</w:t>
      </w:r>
      <w:r>
        <w:t xml:space="preserve"> </w:t>
      </w:r>
      <w:r>
        <w:t xml:space="preserve">adj.P.Val alone.</w:t>
      </w:r>
    </w:p>
    <w:bookmarkEnd w:id="14"/>
    <w:bookmarkStart w:id="19" w:name="pathway-enrichment-analysis"/>
    <w:p>
      <w:pPr>
        <w:pStyle w:val="Heading2"/>
      </w:pPr>
      <w:r>
        <w:t xml:space="preserve">Pathway enrichment analysis</w:t>
      </w:r>
    </w:p>
    <w:bookmarkStart w:id="15" w:name="gene-set-databases"/>
    <w:p>
      <w:pPr>
        <w:pStyle w:val="Heading3"/>
      </w:pPr>
      <w:r>
        <w:t xml:space="preserve">Gene set databases</w:t>
      </w:r>
    </w:p>
    <w:p>
      <w:pPr>
        <w:pStyle w:val="FirstParagraph"/>
      </w:pPr>
      <w:r>
        <w:t xml:space="preserve">Pathway enrichment was performed against a curated four-database pool: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Rat sets (size 10–500)</w:t>
            </w:r>
          </w:p>
        </w:tc>
        <w:tc>
          <w:tcPr/>
          <w:p>
            <w:pPr>
              <w:pStyle w:val="Compact"/>
            </w:pPr>
            <w:r>
              <w:t xml:space="preserve">Source /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MSigDB Hallmark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Liberzon et al. 2015 (PMID 26771021). Refined, non-redundant gene-set collection purpose-built for GSEA as the primary analysis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Reactome</w:t>
            </w:r>
          </w:p>
        </w:tc>
        <w:tc>
          <w:tcPr/>
          <w:p>
            <w:pPr>
              <w:pStyle w:val="Compact"/>
            </w:pPr>
            <w:r>
              <w:t xml:space="preserve">1,839</w:t>
            </w:r>
          </w:p>
        </w:tc>
        <w:tc>
          <w:tcPr/>
          <w:p>
            <w:pPr>
              <w:pStyle w:val="Compact"/>
            </w:pPr>
            <w:r>
              <w:t xml:space="preserve">Gillespie et al. 2022 (PMID 34788843). Hierarchical, hand-curated canonical pathway knowledgebase.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KEGG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Kanehisa 2019 (PMID 31441146). Familiar cardiology / signaling pathway labels (ECM-receptor interaction, MAPK, PI3K-Akt, oxidative phosphorylation).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MitoCarta 3.0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Rath et al. 2021 (PMID 33174596). Mitochondrial-localized protein inventory with sub-organelle and hierarchical functional annotations (Complex I-V subunits, mitoribosome, TCA cycle, etc.).</w:t>
            </w:r>
          </w:p>
        </w:tc>
      </w:tr>
    </w:tbl>
    <w:p>
      <w:pPr>
        <w:pStyle w:val="BodyText"/>
      </w:pPr>
      <w:r>
        <w:t xml:space="preserve">All sets were retrieved as human gene symbols and orthology-mapped to rat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msigdbr</w:t>
      </w:r>
      <w:r>
        <w:t xml:space="preserve"> </w:t>
      </w:r>
      <w:r>
        <w:t xml:space="preserve">for MSigDB collections and</w:t>
      </w:r>
      <w:r>
        <w:t xml:space="preserve"> </w:t>
      </w:r>
      <w:r>
        <w:rPr>
          <w:b/>
          <w:bCs/>
        </w:rPr>
        <w:t xml:space="preserve">babelgene</w:t>
      </w:r>
      <w:r>
        <w:t xml:space="preserve"> </w:t>
      </w:r>
      <w:r>
        <w:t xml:space="preserve">for CORUM and</w:t>
      </w:r>
      <w:r>
        <w:t xml:space="preserve"> </w:t>
      </w:r>
      <w:r>
        <w:t xml:space="preserve">MitoCarta (the latter was originally curated in mouse and human).</w:t>
      </w:r>
    </w:p>
    <w:p>
      <w:pPr>
        <w:pStyle w:val="BodyText"/>
      </w:pPr>
      <w:r>
        <w:t xml:space="preserve">For one supplementary expanded composite, the canonical four-database pool</w:t>
      </w:r>
      <w:r>
        <w:t xml:space="preserve"> </w:t>
      </w:r>
      <w:r>
        <w:t xml:space="preserve">was augmented with</w:t>
      </w:r>
      <w:r>
        <w:t xml:space="preserve"> </w:t>
      </w:r>
      <w:r>
        <w:rPr>
          <w:b/>
          <w:bCs/>
        </w:rPr>
        <w:t xml:space="preserve">GO:BP</w:t>
      </w:r>
      <w:r>
        <w:t xml:space="preserve"> </w:t>
      </w:r>
      <w:r>
        <w:t xml:space="preserve">(7,535 rat sets) to provide finer biological-</w:t>
      </w:r>
      <w:r>
        <w:t xml:space="preserve"> </w:t>
      </w:r>
      <w:r>
        <w:t xml:space="preserve">process resolution. MitoCarta sub-organelle compartment sets (IMM, IMS,</w:t>
      </w:r>
      <w:r>
        <w:t xml:space="preserve"> </w:t>
      </w:r>
      <w:r>
        <w:t xml:space="preserve">Matrix, OMM) were excluded from enrichment because they describe spatial</w:t>
      </w:r>
      <w:r>
        <w:t xml:space="preserve"> </w:t>
      </w:r>
      <w:r>
        <w:t xml:space="preserve">localization rather than functional biology.</w:t>
      </w:r>
    </w:p>
    <w:bookmarkEnd w:id="15"/>
    <w:bookmarkStart w:id="16" w:name="enrichment-statistic"/>
    <w:p>
      <w:pPr>
        <w:pStyle w:val="Heading3"/>
      </w:pPr>
      <w:r>
        <w:t xml:space="preserve">Enrichment statistic</w:t>
      </w:r>
    </w:p>
    <w:p>
      <w:pPr>
        <w:pStyle w:val="FirstParagraph"/>
      </w:pPr>
      <w:r>
        <w:t xml:space="preserve">Per-contrast pathway enrichment was computed with</w:t>
      </w:r>
      <w:r>
        <w:t xml:space="preserve"> </w:t>
      </w:r>
      <w:r>
        <w:rPr>
          <w:b/>
          <w:bCs/>
        </w:rPr>
        <w:t xml:space="preserve">fgsea</w:t>
      </w:r>
      <w:r>
        <w:t xml:space="preserve"> </w:t>
      </w:r>
      <w:r>
        <w:t xml:space="preserve">(Korotkevich</w:t>
      </w:r>
      <w:r>
        <w:t xml:space="preserve"> </w:t>
      </w:r>
      <w:r>
        <w:t xml:space="preserve">et al. 2021,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doi: 10.1101/060012) ranking proteins by their</w:t>
      </w:r>
      <w:r>
        <w:t xml:space="preserve"> </w:t>
      </w:r>
      <w:r>
        <w:t xml:space="preserve">limma moderated t-statistic. fgsea parameters:</w:t>
      </w:r>
      <w:r>
        <w:t xml:space="preserve"> </w:t>
      </w:r>
      <w:r>
        <w:rPr>
          <w:rStyle w:val="VerbatimChar"/>
        </w:rPr>
        <w:t xml:space="preserve">minSize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maxSize = 500</w:t>
      </w:r>
      <w:r>
        <w:t xml:space="preserve">,</w:t>
      </w:r>
      <w:r>
        <w:t xml:space="preserve"> </w:t>
      </w:r>
      <w:r>
        <w:rPr>
          <w:rStyle w:val="VerbatimChar"/>
        </w:rPr>
        <w:t xml:space="preserve">eps = 0</w:t>
      </w:r>
      <w:r>
        <w:t xml:space="preserve">. Set size limits (10 ≤ size ≤ 500) exclude both</w:t>
      </w:r>
      <w:r>
        <w:t xml:space="preserve"> </w:t>
      </w:r>
      <w:r>
        <w:t xml:space="preserve">underpowered very-small sets and uninformatively-large generic sets.</w:t>
      </w:r>
    </w:p>
    <w:bookmarkEnd w:id="16"/>
    <w:bookmarkStart w:id="17" w:name="redundancy-collapse"/>
    <w:p>
      <w:pPr>
        <w:pStyle w:val="Heading3"/>
      </w:pPr>
      <w:r>
        <w:t xml:space="preserve">Redundancy collapse</w:t>
      </w:r>
    </w:p>
    <w:p>
      <w:pPr>
        <w:pStyle w:val="FirstParagraph"/>
      </w:pPr>
      <w:r>
        <w:t xml:space="preserve">A standard problem in multi-database GSEA is that the same underlying</w:t>
      </w:r>
      <w:r>
        <w:t xml:space="preserve"> </w:t>
      </w:r>
      <w:r>
        <w:t xml:space="preserve">biology often appears in several databases under different names — for</w:t>
      </w:r>
      <w:r>
        <w:t xml:space="preserve"> </w:t>
      </w:r>
      <w:r>
        <w:t xml:space="preserve">example, OXPHOS biology surfaces as</w:t>
      </w:r>
      <w:r>
        <w:t xml:space="preserve"> </w:t>
      </w:r>
      <w:r>
        <w:rPr>
          <w:rStyle w:val="VerbatimChar"/>
        </w:rPr>
        <w:t xml:space="preserve">HALLMARK_OXIDATIVE_PHOSPHORYLATION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REACTOME_AEROBIC_RESPIRATION_AND_RESPIRATORY_ELECTRON_TRANSPORT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KEGG_OXIDATIVE_PHOSPHORYLATION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MITOCARTA_OXPHOS_COMPLEX_V_SUBUNITS</w:t>
      </w:r>
      <w:r>
        <w:t xml:space="preserve"> </w:t>
      </w:r>
      <w:r>
        <w:t xml:space="preserve">simultaneously. Without collapse, the same biology occupies multiple slots</w:t>
      </w:r>
      <w:r>
        <w:t xml:space="preserve"> </w:t>
      </w:r>
      <w:r>
        <w:t xml:space="preserve">in a figure or table, crowding out other distinct findings.</w:t>
      </w:r>
    </w:p>
    <w:p>
      <w:pPr>
        <w:pStyle w:val="BodyText"/>
      </w:pPr>
      <w:r>
        <w:t xml:space="preserve">This analysis collapses redundant sets using the</w:t>
      </w:r>
      <w:r>
        <w:t xml:space="preserve"> </w:t>
      </w:r>
      <w:r>
        <w:rPr>
          <w:b/>
          <w:bCs/>
        </w:rPr>
        <w:t xml:space="preserve">combined Jaccard /</w:t>
      </w:r>
      <w:r>
        <w:rPr>
          <w:b/>
          <w:bCs/>
        </w:rPr>
        <w:t xml:space="preserve"> </w:t>
      </w:r>
      <w:r>
        <w:rPr>
          <w:b/>
          <w:bCs/>
        </w:rPr>
        <w:t xml:space="preserve">Overlap-Coefficient criterion</w:t>
      </w:r>
      <w:r>
        <w:t xml:space="preserve"> </w:t>
      </w:r>
      <w:r>
        <w:t xml:space="preserve">at threshold 0.5, which is the</w:t>
      </w:r>
      <w:r>
        <w:t xml:space="preserve"> </w:t>
      </w:r>
      <w:r>
        <w:t xml:space="preserve">EnrichmentMap default (Merico et al. 2010, PMID 21085593; Reimand et al.</w:t>
      </w:r>
      <w:r>
        <w:t xml:space="preserve"> </w:t>
      </w:r>
      <w:r>
        <w:t xml:space="preserve">2019, PMID 30664679, Box 1). Two coefficients are checked for each pair</w:t>
      </w:r>
      <w:r>
        <w:t xml:space="preserve"> </w:t>
      </w:r>
      <w:r>
        <w:t xml:space="preserve">of significant sets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Jaccard coefficient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|A ∩ B| / |A ∪ B|</w:t>
      </w:r>
      <w:r>
        <w:t xml:space="preserve">. Symmetric, penalizes</w:t>
      </w:r>
      <w:r>
        <w:t xml:space="preserve"> </w:t>
      </w:r>
      <w:r>
        <w:t xml:space="preserve">set-size differences. Catches symmetric overlap.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Overlap (Szymkiewicz-Simpson) coefficient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|A ∩ B| / min(|A|, |B|)</w:t>
      </w:r>
      <w:r>
        <w:t xml:space="preserve">.</w:t>
      </w:r>
      <w:r>
        <w:t xml:space="preserve"> </w:t>
      </w:r>
      <w:r>
        <w:t xml:space="preserve">Asymmetric, ranges to 1.0 when one set is entirely inside the other.</w:t>
      </w:r>
      <w:r>
        <w:t xml:space="preserve"> </w:t>
      </w:r>
      <w:r>
        <w:t xml:space="preserve">Catches containment relationships that Jaccard misses.</w:t>
      </w:r>
    </w:p>
    <w:p>
      <w:pPr>
        <w:pStyle w:val="FirstParagraph"/>
      </w:pPr>
      <w:r>
        <w:t xml:space="preserve">Two sets are considered redundant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Jaccard ≥ 0.5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Overlap ≥ 0.5. A greedy collapse is then applied: sets are sorted by</w:t>
      </w:r>
      <w:r>
        <w:t xml:space="preserve"> </w:t>
      </w:r>
      <w:r>
        <w:t xml:space="preserve">adjusted p-value (smallest first); for each set, if it is redundant with</w:t>
      </w:r>
      <w:r>
        <w:t xml:space="preserve"> </w:t>
      </w:r>
      <w:r>
        <w:t xml:space="preserve">any already-kept set the smaller-adjusted-p-value representative wins.</w:t>
      </w:r>
    </w:p>
    <w:p>
      <w:pPr>
        <w:pStyle w:val="BodyText"/>
      </w:pPr>
      <w:r>
        <w:t xml:space="preserve">The collapse is performed in two passes per Reimand 2019 Box 1: first</w:t>
      </w:r>
      <w:r>
        <w:t xml:space="preserve"> </w:t>
      </w:r>
      <w:r>
        <w:t xml:space="preserve">within each database (so within-Hallmark sub-themes do not double-count),</w:t>
      </w:r>
      <w:r>
        <w:t xml:space="preserve"> </w:t>
      </w:r>
      <w:r>
        <w:t xml:space="preserve">then cross-database (so the OXPHOS example above collapses to one</w:t>
      </w:r>
      <w:r>
        <w:t xml:space="preserve"> </w:t>
      </w:r>
      <w:r>
        <w:t xml:space="preserve">canonical term). Adding the Overlap-Coefficient criterion is essential</w:t>
      </w:r>
      <w:r>
        <w:t xml:space="preserve"> </w:t>
      </w:r>
      <w:r>
        <w:t xml:space="preserve">here because Jaccard alone misses asymmetric containment — for instance,</w:t>
      </w:r>
      <w:r>
        <w:t xml:space="preserve"> </w:t>
      </w:r>
      <w:r>
        <w:rPr>
          <w:rStyle w:val="VerbatimChar"/>
        </w:rPr>
        <w:t xml:space="preserve">REACTOME_MITOCHONDRIAL_CALCIUM_ION_TRANSPORT</w:t>
      </w:r>
      <w:r>
        <w:t xml:space="preserve"> </w:t>
      </w:r>
      <w:r>
        <w:t xml:space="preserve">(23 genes) lies entirely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REACTOME_TRANSPORT_OF_SMALL_MOLECULES</w:t>
      </w:r>
      <w:r>
        <w:t xml:space="preserve"> </w:t>
      </w:r>
      <w:r>
        <w:t xml:space="preserve">(711 genes) at Jaccard 0.03</w:t>
      </w:r>
      <w:r>
        <w:t xml:space="preserve"> </w:t>
      </w:r>
      <w:r>
        <w:t xml:space="preserve">but Overlap 1.00. Jaccard-only dedup would have kept both as</w:t>
      </w:r>
      <w:r>
        <w:t xml:space="preserve"> </w:t>
      </w:r>
      <w:r>
        <w:t xml:space="preserve">“distinct”</w:t>
      </w:r>
      <w:r>
        <w:t xml:space="preserve"> </w:t>
      </w:r>
      <w:r>
        <w:t xml:space="preserve">findings.</w:t>
      </w:r>
    </w:p>
    <w:bookmarkEnd w:id="17"/>
    <w:bookmarkStart w:id="18" w:name="per-database-visualization-caps"/>
    <w:p>
      <w:pPr>
        <w:pStyle w:val="Heading3"/>
      </w:pPr>
      <w:r>
        <w:t xml:space="preserve">Per-database visualization caps</w:t>
      </w:r>
    </w:p>
    <w:p>
      <w:pPr>
        <w:pStyle w:val="FirstParagraph"/>
      </w:pPr>
      <w:r>
        <w:t xml:space="preserve">The canonical Figure-2 volcano-in-ring composite displays at most six up-</w:t>
      </w:r>
      <w:r>
        <w:t xml:space="preserve"> </w:t>
      </w:r>
      <w:r>
        <w:t xml:space="preserve">regulated and six down-regulated pathways per contrast (12 total per</w:t>
      </w:r>
      <w:r>
        <w:t xml:space="preserve"> </w:t>
      </w:r>
      <w:r>
        <w:t xml:space="preserve">panel). To prevent any single database from monopolizing those 12 slots</w:t>
      </w:r>
      <w:r>
        <w:t xml:space="preserve"> </w:t>
      </w:r>
      <w:r>
        <w:t xml:space="preserve">and crowding out cross-database triangulation, a per-database cap of</w:t>
      </w:r>
      <w:r>
        <w:t xml:space="preserve"> </w:t>
      </w:r>
      <w:r>
        <w:t xml:space="preserve">two terms per side is applied. The per-DB cap is enforced after dedup</w:t>
      </w:r>
      <w:r>
        <w:t xml:space="preserve"> </w:t>
      </w:r>
      <w:r>
        <w:t xml:space="preserve">but before final padj-ranking, so the most-significant survivor of each</w:t>
      </w:r>
      <w:r>
        <w:t xml:space="preserve"> </w:t>
      </w:r>
      <w:r>
        <w:t xml:space="preserve">database is preferentially included.</w:t>
      </w:r>
    </w:p>
    <w:bookmarkEnd w:id="18"/>
    <w:bookmarkEnd w:id="19"/>
    <w:bookmarkStart w:id="20" w:name="set-level-scoring"/>
    <w:p>
      <w:pPr>
        <w:pStyle w:val="Heading2"/>
      </w:pPr>
      <w:r>
        <w:t xml:space="preserve">Set-level scoring</w:t>
      </w:r>
    </w:p>
    <w:p>
      <w:pPr>
        <w:pStyle w:val="FirstParagraph"/>
      </w:pPr>
      <w:r>
        <w:t xml:space="preserve">To compare the size of pathway-level changes across contrasts independently</w:t>
      </w:r>
      <w:r>
        <w:t xml:space="preserve"> </w:t>
      </w:r>
      <w:r>
        <w:t xml:space="preserve">of fgsea’s rank-based statistic, set-level scores were computed for the</w:t>
      </w:r>
      <w:r>
        <w:t xml:space="preserve"> </w:t>
      </w:r>
      <w:r>
        <w:t xml:space="preserve">harmonized gene-set collection using two methods in parallel: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GSVA</w:t>
      </w:r>
      <w:r>
        <w:t xml:space="preserve"> </w:t>
      </w:r>
      <w:r>
        <w:t xml:space="preserve">(Hänzelmann et al. 2013, PMID 23323831) — Gaussian-kernel</w:t>
      </w:r>
      <w:r>
        <w:t xml:space="preserve"> </w:t>
      </w:r>
      <w:r>
        <w:t xml:space="preserve">cumulative-distribution-function based enrichment score per sample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singscore</w:t>
      </w:r>
      <w:r>
        <w:t xml:space="preserve"> </w:t>
      </w:r>
      <w:r>
        <w:t xml:space="preserve">(Foroutan et al. 2018, PMID 30400809) — rank-based</w:t>
      </w:r>
      <w:r>
        <w:t xml:space="preserve"> </w:t>
      </w:r>
      <w:r>
        <w:t xml:space="preserve">per-sample enrichment with the</w:t>
      </w:r>
      <w:r>
        <w:t xml:space="preserve"> </w:t>
      </w:r>
      <w:r>
        <w:rPr>
          <w:rStyle w:val="VerbatimChar"/>
        </w:rPr>
        <w:t xml:space="preserve">centerScore = TRUE</w:t>
      </w:r>
      <w:r>
        <w:t xml:space="preserve"> </w:t>
      </w:r>
      <w:r>
        <w:t xml:space="preserve">standardization</w:t>
      </w:r>
    </w:p>
    <w:p>
      <w:pPr>
        <w:pStyle w:val="FirstParagraph"/>
      </w:pPr>
      <w:r>
        <w:t xml:space="preserve">The collection underwent the same Jaccard / Overlap-Coefficient dedup</w:t>
      </w:r>
      <w:r>
        <w:t xml:space="preserve"> </w:t>
      </w:r>
      <w:r>
        <w:t xml:space="preserve">prior to scoring (1,625 candidate sets → 416 retained, comprising 285</w:t>
      </w:r>
      <w:r>
        <w:t xml:space="preserve"> </w:t>
      </w:r>
      <w:r>
        <w:t xml:space="preserve">Reactome, 81 CORUM, and 50 MitoCarta sets). Per-set scores were then</w:t>
      </w:r>
      <w:r>
        <w:t xml:space="preserve"> </w:t>
      </w:r>
      <w:r>
        <w:t xml:space="preserve">modeled with a linear mixed model</w:t>
      </w:r>
    </w:p>
    <w:p>
      <w:pPr>
        <w:pStyle w:val="SourceCode"/>
      </w:pPr>
      <w:r>
        <w:rPr>
          <w:rStyle w:val="VerbatimChar"/>
        </w:rPr>
        <w:t xml:space="preserve">score ~ PHE * Mito + (1 | Replicate)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lmerTest::lmer()</w:t>
      </w:r>
      <w:r>
        <w:t xml:space="preserve">, with simple-effects contrasts via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and Benjamini-Hochberg multiplicity correction across sets per contrast.</w:t>
      </w:r>
      <w:r>
        <w:t xml:space="preserve"> </w:t>
      </w:r>
      <w:r>
        <w:t xml:space="preserve">The Replicate intraclass correlation coefficient (</w:t>
      </w:r>
      <w:r>
        <w:rPr>
          <w:rStyle w:val="VerbatimChar"/>
        </w:rPr>
        <w:t xml:space="preserve">replicate_icc</w:t>
      </w:r>
      <w:r>
        <w:t xml:space="preserve">) is</w:t>
      </w:r>
      <w:r>
        <w:t xml:space="preserve"> </w:t>
      </w:r>
      <w:r>
        <w:t xml:space="preserve">reported per set for transparency.</w:t>
      </w:r>
    </w:p>
    <w:p>
      <w:pPr>
        <w:pStyle w:val="BodyText"/>
      </w:pPr>
      <w:r>
        <w:t xml:space="preserve">Methodological agreement between GSVA and singscore was assessed as the</w:t>
      </w:r>
      <w:r>
        <w:t xml:space="preserve"> </w:t>
      </w:r>
      <w:r>
        <w:t xml:space="preserve">per-contrast Spearman correlation of effect sizes; ρ ≥ 0.80 was treated</w:t>
      </w:r>
      <w:r>
        <w:t xml:space="preserve"> </w:t>
      </w:r>
      <w:r>
        <w:t xml:space="preserve">as a method-robustness threshold.</w:t>
      </w:r>
    </w:p>
    <w:bookmarkEnd w:id="20"/>
    <w:bookmarkStart w:id="21" w:name="wgcna-module-discovery"/>
    <w:p>
      <w:pPr>
        <w:pStyle w:val="Heading2"/>
      </w:pPr>
      <w:r>
        <w:t xml:space="preserve">WGCNA module discovery</w:t>
      </w:r>
    </w:p>
    <w:p>
      <w:pPr>
        <w:pStyle w:val="FirstParagraph"/>
      </w:pPr>
      <w:r>
        <w:t xml:space="preserve">Weighted gene co-expression network analysis was performed with</w:t>
      </w:r>
      <w:r>
        <w:t xml:space="preserve"> </w:t>
      </w:r>
      <w:r>
        <w:rPr>
          <w:b/>
          <w:bCs/>
        </w:rPr>
        <w:t xml:space="preserve">WGCNA</w:t>
      </w:r>
      <w:r>
        <w:t xml:space="preserve"> </w:t>
      </w:r>
      <w:r>
        <w:t xml:space="preserve">(Langfelder and Horvath 2008, PMID 19114008) on the imputed protein</w:t>
      </w:r>
      <w:r>
        <w:t xml:space="preserve"> </w:t>
      </w:r>
      <w:r>
        <w:t xml:space="preserve">matrix using:</w:t>
      </w:r>
    </w:p>
    <w:p>
      <w:pPr>
        <w:pStyle w:val="Compact"/>
        <w:numPr>
          <w:ilvl w:val="0"/>
          <w:numId w:val="1003"/>
        </w:numPr>
      </w:pPr>
      <w:r>
        <w:t xml:space="preserve">Signed Pearson correlation</w:t>
      </w:r>
    </w:p>
    <w:p>
      <w:pPr>
        <w:pStyle w:val="Compact"/>
        <w:numPr>
          <w:ilvl w:val="0"/>
          <w:numId w:val="1003"/>
        </w:numPr>
      </w:pPr>
      <w:r>
        <w:t xml:space="preserve">Soft-thresholding power chosen by scale-free topology fit (R² &gt; 0.85)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minModuleSize = 30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mergeCutHeight = 0.25</w:t>
      </w:r>
    </w:p>
    <w:p>
      <w:pPr>
        <w:pStyle w:val="Compact"/>
        <w:numPr>
          <w:ilvl w:val="0"/>
          <w:numId w:val="1003"/>
        </w:numPr>
      </w:pPr>
      <w:r>
        <w:t xml:space="preserve">Standard</w:t>
      </w:r>
      <w:r>
        <w:t xml:space="preserve"> </w:t>
      </w:r>
      <w:r>
        <w:rPr>
          <w:rStyle w:val="VerbatimChar"/>
        </w:rPr>
        <w:t xml:space="preserve">cutreeDynamic</w:t>
      </w:r>
      <w:r>
        <w:t xml:space="preserve"> </w:t>
      </w:r>
      <w:r>
        <w:t xml:space="preserve">hybrid algorithm</w:t>
      </w:r>
    </w:p>
    <w:p>
      <w:pPr>
        <w:pStyle w:val="FirstParagraph"/>
      </w:pPr>
      <w:r>
        <w:t xml:space="preserve">Module-eigengene values were then tested for treatment effects using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~ PHE * Mito + (1 | Replicate)</w:t>
      </w:r>
      <w:r>
        <w:t xml:space="preserve"> </w:t>
      </w:r>
      <w:r>
        <w:t xml:space="preserve">LMM design.</w:t>
      </w:r>
      <w:r>
        <w:t xml:space="preserve"> </w:t>
      </w:r>
      <w:r>
        <w:rPr>
          <w:b/>
          <w:bCs/>
        </w:rPr>
        <w:t xml:space="preserve">This is a circular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because the same dataset defines the modules and tests their</w:t>
      </w:r>
      <w:r>
        <w:t xml:space="preserve"> </w:t>
      </w:r>
      <w:r>
        <w:t xml:space="preserve">treatment associations; the WGCNA output is therefore presented as an</w:t>
      </w:r>
      <w:r>
        <w:t xml:space="preserve"> </w:t>
      </w:r>
      <w:r>
        <w:t xml:space="preserve">exploratory supplement only (the figure carries an explicit EXPLORATORY</w:t>
      </w:r>
      <w:r>
        <w:t xml:space="preserve"> </w:t>
      </w:r>
      <w:r>
        <w:t xml:space="preserve">caption marker), not as an independent statistical claim.</w:t>
      </w:r>
    </w:p>
    <w:bookmarkEnd w:id="21"/>
    <w:bookmarkStart w:id="22" w:name="X92e077d58668a9a7c2ac53a4cc12c248e4908f7"/>
    <w:p>
      <w:pPr>
        <w:pStyle w:val="Heading2"/>
      </w:pPr>
      <w:r>
        <w:t xml:space="preserve">OXPHOS complex stoichiometry and mitonuclear balance</w:t>
      </w:r>
    </w:p>
    <w:p>
      <w:pPr>
        <w:pStyle w:val="FirstParagraph"/>
      </w:pPr>
      <w:r>
        <w:t xml:space="preserve">The OXPHOS subunit-level analysis aggregates proteins by their canonical</w:t>
      </w:r>
      <w:r>
        <w:t xml:space="preserve"> </w:t>
      </w:r>
      <w:r>
        <w:t xml:space="preserve">mitochondrial-complex membership (Complex I, II, III, IV, V, and the</w:t>
      </w:r>
      <w:r>
        <w:t xml:space="preserve"> </w:t>
      </w:r>
      <w:r>
        <w:t xml:space="preserve">mitoribosome) using MitoCarta 3.0 annotations. Per-complex enrichment</w:t>
      </w:r>
      <w:r>
        <w:t xml:space="preserve"> </w:t>
      </w:r>
      <w:r>
        <w:t xml:space="preserve">was tested with limma’s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competitive test (Wu and Smyth 2012,</w:t>
      </w:r>
      <w:r>
        <w:t xml:space="preserve"> </w:t>
      </w:r>
      <w:r>
        <w:t xml:space="preserve">PMID 22638577), which controls for inter-gene correlation in the test</w:t>
      </w:r>
      <w:r>
        <w:t xml:space="preserve"> </w:t>
      </w:r>
      <w:r>
        <w:t xml:space="preserve">statistic.</w:t>
      </w:r>
    </w:p>
    <w:p>
      <w:pPr>
        <w:pStyle w:val="BodyText"/>
      </w:pPr>
      <w:r>
        <w:rPr>
          <w:b/>
          <w:bCs/>
        </w:rPr>
        <w:t xml:space="preserve">Mitonuclear balance</w:t>
      </w:r>
      <w:r>
        <w:t xml:space="preserve"> </w:t>
      </w:r>
      <w:r>
        <w:t xml:space="preserve">follows the framework introduced by Houtkooper</w:t>
      </w:r>
      <w:r>
        <w:t xml:space="preserve"> </w:t>
      </w:r>
      <w:r>
        <w:t xml:space="preserve">et al. 2013 (PMID 23698443) and operationalizes the</w:t>
      </w:r>
      <w:r>
        <w:t xml:space="preserve"> </w:t>
      </w:r>
      <w:r>
        <w:t xml:space="preserve">mtDNA-encoded vs nuclear-encoded OXPHOS subunit ratio as a single</w:t>
      </w:r>
      <w:r>
        <w:t xml:space="preserve"> </w:t>
      </w:r>
      <w:r>
        <w:t xml:space="preserve">per-sample summary statistic, then tests treatment effects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~ PHE * Mito + (1 | Replicate)</w:t>
      </w:r>
      <w:r>
        <w:t xml:space="preserve"> </w:t>
      </w:r>
      <w:r>
        <w:t xml:space="preserve">LMM. A positive estimate indicates</w:t>
      </w:r>
      <w:r>
        <w:t xml:space="preserve"> </w:t>
      </w:r>
      <w:r>
        <w:t xml:space="preserve">that mtDNA-encoded subunits gained more than nuclear-encoded subunits in</w:t>
      </w:r>
      <w:r>
        <w:t xml:space="preserve"> </w:t>
      </w:r>
      <w:r>
        <w:t xml:space="preserve">the contrast — the predicted signature of intact mitochondrial-genome</w:t>
      </w:r>
      <w:r>
        <w:t xml:space="preserve"> </w:t>
      </w:r>
      <w:r>
        <w:t xml:space="preserve">delivery in a transplant paradigm.</w:t>
      </w:r>
    </w:p>
    <w:p>
      <w:pPr>
        <w:pStyle w:val="BodyText"/>
      </w:pPr>
      <w:r>
        <w:rPr>
          <w:b/>
          <w:bCs/>
        </w:rPr>
        <w:t xml:space="preserve">Pair-stoichiometry</w:t>
      </w:r>
      <w:r>
        <w:t xml:space="preserve"> </w:t>
      </w:r>
      <w:r>
        <w:t xml:space="preserve">(AlteredPQR; Romanov et al. 2019 / Buljan et al.</w:t>
      </w:r>
      <w:r>
        <w:t xml:space="preserve"> </w:t>
      </w:r>
      <w:r>
        <w:t xml:space="preserve">2023) tests whether pairs of subunits within the same OXPHOS complex</w:t>
      </w:r>
      <w:r>
        <w:t xml:space="preserve"> </w:t>
      </w:r>
      <w:r>
        <w:t xml:space="preserve">shifted asymmetrically (one subunit changing more than its partner),</w:t>
      </w:r>
      <w:r>
        <w:t xml:space="preserve"> </w:t>
      </w:r>
      <w:r>
        <w:t xml:space="preserve">which would indicate stoichiometric imbalance rather than coordinated</w:t>
      </w:r>
      <w:r>
        <w:t xml:space="preserve"> </w:t>
      </w:r>
      <w:r>
        <w:t xml:space="preserve">content change. At N = 24, this analysis is documented as exploratory.</w:t>
      </w:r>
    </w:p>
    <w:p>
      <w:pPr>
        <w:pStyle w:val="BodyText"/>
      </w:pPr>
      <w:r>
        <w:rPr>
          <w:b/>
          <w:bCs/>
        </w:rPr>
        <w:t xml:space="preserve">Subunit covariation</w:t>
      </w:r>
      <w:r>
        <w:t xml:space="preserve"> </w:t>
      </w:r>
      <w:r>
        <w:t xml:space="preserve">was assessed via per-complex Spearman correlation</w:t>
      </w:r>
      <w:r>
        <w:t xml:space="preserve"> </w:t>
      </w:r>
      <w:r>
        <w:t xml:space="preserve">matrices and a</w:t>
      </w:r>
      <w:r>
        <w:t xml:space="preserve"> </w:t>
      </w:r>
      <w:r>
        <w:rPr>
          <w:rStyle w:val="VerbatimChar"/>
        </w:rPr>
        <w:t xml:space="preserve">cohesion</w:t>
      </w:r>
      <w:r>
        <w:t xml:space="preserve"> </w:t>
      </w:r>
      <w:r>
        <w:t xml:space="preserve">score (mean pairwise r within complex). The</w:t>
      </w:r>
      <w:r>
        <w:t xml:space="preserve"> </w:t>
      </w:r>
      <w:r>
        <w:t xml:space="preserve">cohesion range observed (0.02-0.13) is weak by standard cardiac proteome</w:t>
      </w:r>
      <w:r>
        <w:t xml:space="preserve"> </w:t>
      </w:r>
      <w:r>
        <w:t xml:space="preserve">benchmarks, so the AlteredPQR call is treated as descriptive only.</w:t>
      </w:r>
    </w:p>
    <w:bookmarkEnd w:id="22"/>
    <w:bookmarkStart w:id="23" w:name="sensitivity-analyses"/>
    <w:p>
      <w:pPr>
        <w:pStyle w:val="Heading2"/>
      </w:pPr>
      <w:r>
        <w:t xml:space="preserve">Sensitivity analyses</w:t>
      </w:r>
    </w:p>
    <w:p>
      <w:pPr>
        <w:pStyle w:val="FirstParagraph"/>
      </w:pPr>
      <w:r>
        <w:t xml:space="preserve">Three robustness analyses were run as appended sheets to the differential</w:t>
      </w:r>
      <w:r>
        <w:t xml:space="preserve"> </w:t>
      </w:r>
      <w:r>
        <w:t xml:space="preserve">abundance output: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Imputation sensitivity</w:t>
      </w:r>
      <w:r>
        <w:t xml:space="preserve">: re-run the full DEP pipeline with an</w:t>
      </w:r>
      <w:r>
        <w:t xml:space="preserve"> </w:t>
      </w:r>
      <w:r>
        <w:t xml:space="preserve">alternative imputation method and report per-contrast Spearman ρ</w:t>
      </w:r>
      <w:r>
        <w:t xml:space="preserve"> </w:t>
      </w:r>
      <w:r>
        <w:t xml:space="preserve">between primary and alternative</w:t>
      </w:r>
      <w:r>
        <w:t xml:space="preserve"> </w:t>
      </w:r>
      <w:r>
        <w:rPr>
          <w:rStyle w:val="VerbatimChar"/>
        </w:rPr>
        <w:t xml:space="preserve">logFC</w:t>
      </w:r>
      <w:r>
        <w:t xml:space="preserve"> </w:t>
      </w:r>
      <w:r>
        <w:t xml:space="preserve">vectors. ρ ≥ 0.99 indicates</w:t>
      </w:r>
      <w:r>
        <w:t xml:space="preserve"> </w:t>
      </w:r>
      <w:r>
        <w:t xml:space="preserve">imputation choice does not drive the called proteins.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Reinjection sensitivity</w:t>
      </w:r>
      <w:r>
        <w:t xml:space="preserve">: refit the DEP pipeline after dropping</w:t>
      </w:r>
      <w:r>
        <w:t xml:space="preserve"> </w:t>
      </w:r>
      <w:r>
        <w:t xml:space="preserve">the four</w:t>
      </w:r>
      <w:r>
        <w:t xml:space="preserve"> </w:t>
      </w:r>
      <w:r>
        <w:rPr>
          <w:rStyle w:val="VerbatimChar"/>
        </w:rPr>
        <w:t xml:space="preserve">r</w:t>
      </w:r>
      <w:r>
        <w:t xml:space="preserve">-suffixed re-injection samples; report per-contrast</w:t>
      </w:r>
      <w:r>
        <w:t xml:space="preserve"> </w:t>
      </w:r>
      <w:r>
        <w:t xml:space="preserve">Spearman ρ. ρ ≥ 0.95 for the core contrasts indicates the imbalance</w:t>
      </w:r>
      <w:r>
        <w:t xml:space="preserve"> </w:t>
      </w:r>
      <w:r>
        <w:t xml:space="preserve">does not dominate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 eBayes sensitivity</w:t>
      </w:r>
      <w:r>
        <w:t xml:space="preserve">: refit with limma’s</w:t>
      </w:r>
      <w:r>
        <w:t xml:space="preserve"> </w:t>
      </w:r>
      <w:r>
        <w:rPr>
          <w:rStyle w:val="VerbatimChar"/>
        </w:rPr>
        <w:t xml:space="preserve">eBayes(..., robust = TRUE)</w:t>
      </w:r>
      <w:r>
        <w:t xml:space="preserve"> </w:t>
      </w:r>
      <w:r>
        <w:t xml:space="preserve">variance moderation (Phipson et al. 2016,</w:t>
      </w:r>
      <w:r>
        <w:t xml:space="preserve"> </w:t>
      </w:r>
      <w:r>
        <w:t xml:space="preserve">PMID 28367255) and compare FDR and Π counts to the default. Matched</w:t>
      </w:r>
      <w:r>
        <w:t xml:space="preserve"> </w:t>
      </w:r>
      <w:r>
        <w:t xml:space="preserve">counts confirm that variance moderation choice is not a driver.</w:t>
      </w:r>
    </w:p>
    <w:bookmarkEnd w:id="23"/>
    <w:bookmarkStart w:id="24" w:name="software-environment"/>
    <w:p>
      <w:pPr>
        <w:pStyle w:val="Heading2"/>
      </w:pPr>
      <w:r>
        <w:t xml:space="preserve">Software environment</w:t>
      </w:r>
    </w:p>
    <w:p>
      <w:pPr>
        <w:pStyle w:val="FirstParagraph"/>
      </w:pPr>
      <w:r>
        <w:t xml:space="preserve">Analyses were performed in</w:t>
      </w:r>
      <w:r>
        <w:t xml:space="preserve"> </w:t>
      </w:r>
      <w:r>
        <w:rPr>
          <w:b/>
          <w:bCs/>
        </w:rPr>
        <w:t xml:space="preserve">R 4.6</w:t>
      </w:r>
      <w:r>
        <w:t xml:space="preserve"> </w:t>
      </w:r>
      <w:r>
        <w:t xml:space="preserve">with the following key packages:</w:t>
      </w:r>
      <w:r>
        <w:t xml:space="preserve"> </w:t>
      </w:r>
      <w:r>
        <w:rPr>
          <w:b/>
          <w:bCs/>
        </w:rPr>
        <w:t xml:space="preserve">proteoDA</w:t>
      </w:r>
      <w:r>
        <w:t xml:space="preserve">,</w:t>
      </w:r>
      <w:r>
        <w:t xml:space="preserve"> </w:t>
      </w:r>
      <w:r>
        <w:rPr>
          <w:b/>
          <w:bCs/>
        </w:rPr>
        <w:t xml:space="preserve">limma</w:t>
      </w:r>
      <w:r>
        <w:t xml:space="preserve">,</w:t>
      </w:r>
      <w:r>
        <w:t xml:space="preserve"> </w:t>
      </w:r>
      <w:r>
        <w:rPr>
          <w:b/>
          <w:bCs/>
        </w:rPr>
        <w:t xml:space="preserve">fgsea</w:t>
      </w:r>
      <w:r>
        <w:t xml:space="preserve">,</w:t>
      </w:r>
      <w:r>
        <w:t xml:space="preserve"> </w:t>
      </w:r>
      <w:r>
        <w:rPr>
          <w:b/>
          <w:bCs/>
        </w:rPr>
        <w:t xml:space="preserve">msImpute</w:t>
      </w:r>
      <w:r>
        <w:t xml:space="preserve">,</w:t>
      </w:r>
      <w:r>
        <w:t xml:space="preserve"> </w:t>
      </w:r>
      <w:r>
        <w:rPr>
          <w:b/>
          <w:bCs/>
        </w:rPr>
        <w:t xml:space="preserve">missForest</w:t>
      </w:r>
      <w:r>
        <w:t xml:space="preserve">,</w:t>
      </w:r>
      <w:r>
        <w:t xml:space="preserve"> </w:t>
      </w:r>
      <w:r>
        <w:rPr>
          <w:b/>
          <w:bCs/>
        </w:rPr>
        <w:t xml:space="preserve">msigdbr</w:t>
      </w:r>
      <w:r>
        <w:t xml:space="preserve">,</w:t>
      </w:r>
      <w:r>
        <w:t xml:space="preserve"> </w:t>
      </w:r>
      <w:r>
        <w:rPr>
          <w:b/>
          <w:bCs/>
        </w:rPr>
        <w:t xml:space="preserve">babelgene</w:t>
      </w:r>
      <w:r>
        <w:t xml:space="preserve">,</w:t>
      </w:r>
      <w:r>
        <w:t xml:space="preserve"> </w:t>
      </w:r>
      <w:r>
        <w:rPr>
          <w:b/>
          <w:bCs/>
        </w:rPr>
        <w:t xml:space="preserve">GSVA</w:t>
      </w:r>
      <w:r>
        <w:t xml:space="preserve">,</w:t>
      </w:r>
      <w:r>
        <w:t xml:space="preserve"> </w:t>
      </w:r>
      <w:r>
        <w:rPr>
          <w:b/>
          <w:bCs/>
        </w:rPr>
        <w:t xml:space="preserve">singscore</w:t>
      </w:r>
      <w:r>
        <w:t xml:space="preserve">,</w:t>
      </w:r>
      <w:r>
        <w:t xml:space="preserve"> </w:t>
      </w:r>
      <w:r>
        <w:rPr>
          <w:b/>
          <w:bCs/>
        </w:rPr>
        <w:t xml:space="preserve">WGCNA</w:t>
      </w:r>
      <w:r>
        <w:t xml:space="preserve">,</w:t>
      </w:r>
      <w:r>
        <w:t xml:space="preserve"> </w:t>
      </w:r>
      <w:r>
        <w:rPr>
          <w:b/>
          <w:bCs/>
        </w:rPr>
        <w:t xml:space="preserve">lmerTest</w:t>
      </w:r>
      <w:r>
        <w:t xml:space="preserve">,</w:t>
      </w:r>
      <w:r>
        <w:t xml:space="preserve"> </w:t>
      </w:r>
      <w:r>
        <w:rPr>
          <w:b/>
          <w:bCs/>
        </w:rPr>
        <w:t xml:space="preserve">emmeans</w:t>
      </w:r>
      <w:r>
        <w:t xml:space="preserve">,</w:t>
      </w:r>
      <w:r>
        <w:t xml:space="preserve"> </w:t>
      </w:r>
      <w:r>
        <w:rPr>
          <w:b/>
          <w:bCs/>
        </w:rPr>
        <w:t xml:space="preserve">vegan</w:t>
      </w:r>
      <w:r>
        <w:t xml:space="preserve"> </w:t>
      </w:r>
      <w:r>
        <w:t xml:space="preserve">(for PERMANOVA), and</w:t>
      </w:r>
      <w:r>
        <w:t xml:space="preserve"> </w:t>
      </w:r>
      <w:r>
        <w:rPr>
          <w:b/>
          <w:bCs/>
        </w:rPr>
        <w:t xml:space="preserve">org.Rn.eg.db</w:t>
      </w:r>
      <w:r>
        <w:t xml:space="preserve"> </w:t>
      </w:r>
      <w:r>
        <w:t xml:space="preserve">(for rat ortholog/symbol mapping). Figure rendering used</w:t>
      </w:r>
      <w:r>
        <w:t xml:space="preserve"> </w:t>
      </w:r>
      <w:r>
        <w:rPr>
          <w:b/>
          <w:bCs/>
        </w:rPr>
        <w:t xml:space="preserve">ggplot2</w:t>
      </w:r>
      <w:r>
        <w:t xml:space="preserve">,</w:t>
      </w:r>
      <w:r>
        <w:t xml:space="preserve"> </w:t>
      </w:r>
      <w:r>
        <w:rPr>
          <w:b/>
          <w:bCs/>
        </w:rPr>
        <w:t xml:space="preserve">patchwork</w:t>
      </w:r>
      <w:r>
        <w:t xml:space="preserve">,</w:t>
      </w:r>
      <w:r>
        <w:t xml:space="preserve"> </w:t>
      </w:r>
      <w:r>
        <w:rPr>
          <w:b/>
          <w:bCs/>
        </w:rPr>
        <w:t xml:space="preserve">cowplot</w:t>
      </w:r>
      <w:r>
        <w:t xml:space="preserve">,</w:t>
      </w:r>
      <w:r>
        <w:t xml:space="preserve"> </w:t>
      </w:r>
      <w:r>
        <w:rPr>
          <w:b/>
          <w:bCs/>
        </w:rPr>
        <w:t xml:space="preserve">ComplexHeatmap</w:t>
      </w:r>
      <w:r>
        <w:t xml:space="preserve">, and</w:t>
      </w:r>
      <w:r>
        <w:t xml:space="preserve"> </w:t>
      </w:r>
      <w:r>
        <w:rPr>
          <w:b/>
          <w:bCs/>
        </w:rPr>
        <w:t xml:space="preserve">rasterGrob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results"/>
    <w:p>
      <w:pPr>
        <w:pStyle w:val="Heading1"/>
      </w:pPr>
      <w:r>
        <w:t xml:space="preserve">Results</w:t>
      </w:r>
    </w:p>
    <w:bookmarkStart w:id="26" w:name="Xfe3764cf5804fcc77d1a9d1ecd0aad1c2398ab6"/>
    <w:p>
      <w:pPr>
        <w:pStyle w:val="Heading2"/>
      </w:pPr>
      <w:r>
        <w:t xml:space="preserve">Sample structure and proteome-wide picture (Figure 1)</w:t>
      </w:r>
    </w:p>
    <w:p>
      <w:pPr>
        <w:pStyle w:val="FirstParagraph"/>
      </w:pPr>
      <w:r>
        <w:t xml:space="preserve">Principal-component analysis of the imputed proteome matrix separates</w:t>
      </w:r>
      <w:r>
        <w:t xml:space="preserve"> </w:t>
      </w:r>
      <w:r>
        <w:t xml:space="preserve">the four groups along PC1, with a significant overall group main effect</w:t>
      </w:r>
      <w:r>
        <w:t xml:space="preserve"> </w:t>
      </w:r>
      <w:r>
        <w:t xml:space="preserve">by PERMANOVA (pseudo-F p = 4 × 10⁻⁴; Anderson 2001) using Euclidean</w:t>
      </w:r>
      <w:r>
        <w:t xml:space="preserve"> </w:t>
      </w:r>
      <w:r>
        <w:t xml:space="preserve">distances on scaled per-protein intensities with 9,999 permutations.</w:t>
      </w:r>
      <w:r>
        <w:t xml:space="preserve"> </w:t>
      </w:r>
      <w:r>
        <w:t xml:space="preserve">Pairwise PERMANOVA contrasts for the three biologically meaningful</w:t>
      </w:r>
      <w:r>
        <w:t xml:space="preserve"> </w:t>
      </w:r>
      <w:r>
        <w:t xml:space="preserve">group pairs (Ctl vs Mito =</w:t>
      </w:r>
      <w:r>
        <w:t xml:space="preserve"> </w:t>
      </w:r>
      <w:r>
        <w:t xml:space="preserve">“Transplant”</w:t>
      </w:r>
      <w:r>
        <w:t xml:space="preserve">; Ctl vs PHE =</w:t>
      </w:r>
      <w:r>
        <w:t xml:space="preserve"> </w:t>
      </w:r>
      <w:r>
        <w:t xml:space="preserve">“Disease”</w:t>
      </w:r>
      <w:r>
        <w:t xml:space="preserve">;</w:t>
      </w:r>
      <w:r>
        <w:t xml:space="preserve"> </w:t>
      </w:r>
      <w:r>
        <w:t xml:space="preserve">PHE vs PHE_Mito =</w:t>
      </w:r>
      <w:r>
        <w:t xml:space="preserve"> </w:t>
      </w:r>
      <w:r>
        <w:t xml:space="preserve">“Rescue”</w:t>
      </w:r>
      <w:r>
        <w:t xml:space="preserve">) are reported in the figure.</w:t>
      </w:r>
    </w:p>
    <w:p>
      <w:pPr>
        <w:pStyle w:val="BodyText"/>
      </w:pPr>
      <w:r>
        <w:t xml:space="preserve">Per-protein significance counts show the expected ordering of effect</w:t>
      </w:r>
      <w:r>
        <w:t xml:space="preserve"> </w:t>
      </w:r>
      <w:r>
        <w:t xml:space="preserve">sizes across contrasts: PHEvPHE_MITO &gt; CTLvMITO &gt; CTLvPHE &gt; Interaction.</w:t>
      </w:r>
      <w:r>
        <w:t xml:space="preserve"> </w:t>
      </w:r>
      <w:r>
        <w:t xml:space="preserve">167 unique Π-significant DEPs survive across the four core contrasts</w:t>
      </w:r>
      <w:r>
        <w:t xml:space="preserve"> </w:t>
      </w:r>
      <w:r>
        <w:t xml:space="preserve">(union, deduplicated by uniprot_id); 41 of those 167 are MitoCarta</w:t>
      </w:r>
      <w:r>
        <w:t xml:space="preserve"> </w:t>
      </w:r>
      <w:r>
        <w:t xml:space="preserve">members, a substantial mitochondrial enrichment for a study where the</w:t>
      </w:r>
      <w:r>
        <w:t xml:space="preserve"> </w:t>
      </w:r>
      <w:r>
        <w:t xml:space="preserve">intervention is mitochondrial transplant.</w:t>
      </w:r>
    </w:p>
    <w:p>
      <w:pPr>
        <w:pStyle w:val="BodyText"/>
      </w:pPr>
      <w:r>
        <w:t xml:space="preserve">After collapsing the harmonized Hallmark + Reactome + MitoCarta pathway</w:t>
      </w:r>
      <w:r>
        <w:t xml:space="preserve"> </w:t>
      </w:r>
      <w:r>
        <w:t xml:space="preserve">annotations with the combined Jaccard / Overlap-Coefficient criterion,</w:t>
      </w:r>
      <w:r>
        <w:t xml:space="preserve"> </w:t>
      </w:r>
      <w:r>
        <w:t xml:space="preserve">82 unique pathways appear in the enrichment summary panel (down from</w:t>
      </w:r>
      <w:r>
        <w:t xml:space="preserve"> </w:t>
      </w:r>
      <w:r>
        <w:t xml:space="preserve">255 pre-dedup, a 68% redundancy collapse — see Methods for why this</w:t>
      </w:r>
      <w:r>
        <w:t xml:space="preserve"> </w:t>
      </w:r>
      <w:r>
        <w:t xml:space="preserve">strict collapse is necessary).</w:t>
      </w:r>
    </w:p>
    <w:p>
      <w:pPr>
        <w:pStyle w:val="BodyText"/>
      </w:pPr>
      <w:r>
        <w:t xml:space="preserve">The mito-protein rank-location panel confirms that the mito-transplanted</w:t>
      </w:r>
      <w:r>
        <w:t xml:space="preserve"> </w:t>
      </w:r>
      <w:r>
        <w:t xml:space="preserve">contrasts (CTLvMITO and PHEvPHE_MITO) pull mitochondrial-annotated proteins</w:t>
      </w:r>
      <w:r>
        <w:t xml:space="preserve"> </w:t>
      </w:r>
      <w:r>
        <w:t xml:space="preserve">toward the upper tail of the per-protein effect-size distribution, while</w:t>
      </w:r>
      <w:r>
        <w:t xml:space="preserve"> </w:t>
      </w:r>
      <w:r>
        <w:t xml:space="preserve">the Disease contrast (CTLvPHE) and the Interaction contrast do not.</w:t>
      </w:r>
    </w:p>
    <w:p>
      <w:pPr>
        <w:pStyle w:val="BodyText"/>
      </w:pPr>
      <w:r>
        <w:t xml:space="preserve">A separate supplementary QC figure documents that cyclic-loess</w:t>
      </w:r>
      <w:r>
        <w:t xml:space="preserve"> </w:t>
      </w:r>
      <w:r>
        <w:t xml:space="preserve">normalization, msImpute-based MAR/MNAR classification, and missForest</w:t>
      </w:r>
      <w:r>
        <w:t xml:space="preserve"> </w:t>
      </w:r>
      <w:r>
        <w:t xml:space="preserve">imputation recover sample clustering consistent with the experimental</w:t>
      </w:r>
      <w:r>
        <w:t xml:space="preserve"> </w:t>
      </w:r>
      <w:r>
        <w:t xml:space="preserve">design.</w:t>
      </w:r>
    </w:p>
    <w:bookmarkEnd w:id="26"/>
    <w:bookmarkStart w:id="27" w:name="Xb2e69b258a1526ebb1a44882264fc3256734acf"/>
    <w:p>
      <w:pPr>
        <w:pStyle w:val="Heading2"/>
      </w:pPr>
      <w:r>
        <w:t xml:space="preserve">Contrast-resolved volcano landscape (Figure 2)</w:t>
      </w:r>
    </w:p>
    <w:p>
      <w:pPr>
        <w:pStyle w:val="FirstParagraph"/>
      </w:pPr>
      <w:r>
        <w:t xml:space="preserve">Figure 2 is a 2 × 2 composite of volcano-in-ring panels, one per</w:t>
      </w:r>
      <w:r>
        <w:t xml:space="preserve"> </w:t>
      </w:r>
      <w:r>
        <w:t xml:space="preserve">contrast. The central volcano plots protein-level log-fold-change vs</w:t>
      </w:r>
      <w:r>
        <w:t xml:space="preserve"> </w:t>
      </w:r>
      <w:r>
        <w:t xml:space="preserve">−log₁₀(p-value); the ring around each volcano shows the top-significant</w:t>
      </w:r>
      <w:r>
        <w:t xml:space="preserve"> </w:t>
      </w:r>
      <w:r>
        <w:t xml:space="preserve">gene-set enrichments from the four-database curated pool</w:t>
      </w:r>
      <w:r>
        <w:t xml:space="preserve"> </w:t>
      </w:r>
      <w:r>
        <w:t xml:space="preserve">(Hallmark + Reactome + KEGG + MitoCarta), with up-regulated terms on the</w:t>
      </w:r>
      <w:r>
        <w:t xml:space="preserve"> </w:t>
      </w:r>
      <w:r>
        <w:t xml:space="preserve">right arc and down-regulated terms on the left arc. Arc colour encodes</w:t>
      </w:r>
      <w:r>
        <w:t xml:space="preserve"> </w:t>
      </w:r>
      <w:r>
        <w:t xml:space="preserve">NES (red = positive, blue = negative). Up to six up and six down terms</w:t>
      </w:r>
      <w:r>
        <w:t xml:space="preserve"> </w:t>
      </w:r>
      <w:r>
        <w:t xml:space="preserve">appear per panel, with a per-database cap of two terms per side.</w:t>
      </w:r>
    </w:p>
    <w:p>
      <w:pPr>
        <w:pStyle w:val="BodyText"/>
      </w:pPr>
      <w:r>
        <w:t xml:space="preserve">The four panels surface distinct biology: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Transplant (CTLvMITO, panel A)</w:t>
      </w:r>
      <w:r>
        <w:t xml:space="preserve"> </w:t>
      </w:r>
      <w:r>
        <w:t xml:space="preserve">— 9 pathways (6 up / 3 down).</w:t>
      </w:r>
      <w:r>
        <w:t xml:space="preserve"> </w:t>
      </w:r>
      <w:r>
        <w:t xml:space="preserve">HALLMARK_OXIDATIVE_PHOSPHORYLATION is the strongest single signal</w:t>
      </w:r>
      <w:r>
        <w:t xml:space="preserve"> </w:t>
      </w:r>
      <w:r>
        <w:t xml:space="preserve">(padj 1.3 × 10⁻⁶), with REACTOME_AEROBIC_RESPIRATION_AND_RESPIRATORY_ELECTRON_TRANSPORT,</w:t>
      </w:r>
      <w:r>
        <w:t xml:space="preserve"> </w:t>
      </w:r>
      <w:r>
        <w:t xml:space="preserve">MITOCARTA_MITORIBOSOME, MITOCARTA_TCA_CYCLE, and KEGG_GLYCOLYSIS</w:t>
      </w:r>
      <w:r>
        <w:t xml:space="preserve"> </w:t>
      </w:r>
      <w:r>
        <w:t xml:space="preserve">triangulating the same mitochondrial-delivery signature from four</w:t>
      </w:r>
      <w:r>
        <w:t xml:space="preserve"> </w:t>
      </w:r>
      <w:r>
        <w:t xml:space="preserve">independent annotation perspectives. The convergence of all four</w:t>
      </w:r>
      <w:r>
        <w:t xml:space="preserve"> </w:t>
      </w:r>
      <w:r>
        <w:t xml:space="preserve">databases on OXPHOS biology is a strong cross-database confirmation</w:t>
      </w:r>
      <w:r>
        <w:t xml:space="preserve"> </w:t>
      </w:r>
      <w:r>
        <w:t xml:space="preserve">that mitochondrial cargo is being delivered to recipient cells.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Rescue (PHEvPHE_MITO, panel B)</w:t>
      </w:r>
      <w:r>
        <w:t xml:space="preserve"> </w:t>
      </w:r>
      <w:r>
        <w:t xml:space="preserve">— 11 pathways (6 up / 5 down).</w:t>
      </w:r>
      <w:r>
        <w:t xml:space="preserve"> </w:t>
      </w:r>
      <w:r>
        <w:t xml:space="preserve">HALLMARK_OXPHOS dominates UP with padj 1.5 × 10⁻¹⁶, the strongest</w:t>
      </w:r>
      <w:r>
        <w:t xml:space="preserve"> </w:t>
      </w:r>
      <w:r>
        <w:t xml:space="preserve">single statistical signal in the entire dataset. HALLMARK_FATTY_ACID_METABOLISM,</w:t>
      </w:r>
      <w:r>
        <w:t xml:space="preserve"> </w:t>
      </w:r>
      <w:r>
        <w:t xml:space="preserve">HALLMARK_ADIPOGENESIS, REACTOME_MITOCHONDRIAL_PROTEIN_DEGRADATION,</w:t>
      </w:r>
      <w:r>
        <w:t xml:space="preserve"> </w:t>
      </w:r>
      <w:r>
        <w:t xml:space="preserve">and KEGG_OXIDATIVE_PHOSPHORYLATION are also significantly UP. Critically,</w:t>
      </w:r>
      <w:r>
        <w:t xml:space="preserve"> </w:t>
      </w:r>
      <w:r>
        <w:t xml:space="preserve">the DOWN side of this panel shows HALLMARK_EPITHELIAL_MESENCHYMAL_TRANSITION,</w:t>
      </w:r>
      <w:r>
        <w:t xml:space="preserve"> </w:t>
      </w:r>
      <w:r>
        <w:t xml:space="preserve">REACTOME_COLLAGEN_TRIMERIZATION, REACTOME_FIBRONECTIN_MATRIX_FORMATION,</w:t>
      </w:r>
      <w:r>
        <w:t xml:space="preserve"> </w:t>
      </w:r>
      <w:r>
        <w:t xml:space="preserve">and HALLMARK_ANGIOGENESIS — all reverse-image of the PHE-induced</w:t>
      </w:r>
      <w:r>
        <w:t xml:space="preserve"> </w:t>
      </w:r>
      <w:r>
        <w:t xml:space="preserve">fibrotic signature seen in panel C. This is the rescue signature:</w:t>
      </w:r>
      <w:r>
        <w:t xml:space="preserve"> </w:t>
      </w:r>
      <w:r>
        <w:t xml:space="preserve">the same biology that PHE drives up is being driven back down by</w:t>
      </w:r>
      <w:r>
        <w:t xml:space="preserve"> </w:t>
      </w:r>
      <w:r>
        <w:t xml:space="preserve">mitochondrial transplant.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Disease (CTLvPHE, panel C)</w:t>
      </w:r>
      <w:r>
        <w:t xml:space="preserve"> </w:t>
      </w:r>
      <w:r>
        <w:t xml:space="preserve">— 8 pathways (5 up / 3 down).</w:t>
      </w:r>
      <w:r>
        <w:t xml:space="preserve"> </w:t>
      </w:r>
      <w:r>
        <w:t xml:space="preserve">KEGG_ECM_RECEPTOR_INTERACTION (padj 0.002), REACTOME_STRIATED_MUSCLE_CONTRACTION</w:t>
      </w:r>
      <w:r>
        <w:t xml:space="preserve"> </w:t>
      </w:r>
      <w:r>
        <w:t xml:space="preserve">(padj 0.007), REACTOME_FORMATION_OF_DYSTROPHIN_GLYCOPROTEIN_COMPLEX,</w:t>
      </w:r>
      <w:r>
        <w:t xml:space="preserve"> </w:t>
      </w:r>
      <w:r>
        <w:t xml:space="preserve">HALLMARK_EPITHELIAL_MESENCHYMAL_TRANSITION, and KEGG_DILATED_CARDIOMYOPATHY</w:t>
      </w:r>
      <w:r>
        <w:t xml:space="preserve"> </w:t>
      </w:r>
      <w:r>
        <w:t xml:space="preserve">are UP, recovering the Hahn et al. 2014 (PMID 24794531) PHE-driven</w:t>
      </w:r>
      <w:r>
        <w:t xml:space="preserve"> </w:t>
      </w:r>
      <w:r>
        <w:t xml:space="preserve">fibrotic / sarcomeric / ECM-remodeling axis at pathway resolution.</w:t>
      </w:r>
      <w:r>
        <w:t xml:space="preserve"> </w:t>
      </w:r>
      <w:r>
        <w:t xml:space="preserve">HALLMARK_MYC_TARGETS_V1, REACTOME_DNA_REPLICATION, and HALLMARK_E2F_TARGETS</w:t>
      </w:r>
      <w:r>
        <w:t xml:space="preserve"> </w:t>
      </w:r>
      <w:r>
        <w:t xml:space="preserve">are DOWN — proliferation arrest paired with structural hypertrophy,</w:t>
      </w:r>
      <w:r>
        <w:t xml:space="preserve"> </w:t>
      </w:r>
      <w:r>
        <w:t xml:space="preserve">a classic terminally-differentiating cardiomyoblast response to</w:t>
      </w:r>
      <w:r>
        <w:t xml:space="preserve"> </w:t>
      </w:r>
      <w:r>
        <w:t xml:space="preserve">α1-adrenergic stress. (Note: this panel was empty under an earlier</w:t>
      </w:r>
      <w:r>
        <w:t xml:space="preserve"> </w:t>
      </w:r>
      <w:r>
        <w:t xml:space="preserve">MitoCarta-only enrichment lens; pooling four curated databases</w:t>
      </w:r>
      <w:r>
        <w:t xml:space="preserve"> </w:t>
      </w:r>
      <w:r>
        <w:t xml:space="preserve">surfaces non-mitochondrial disease biology that the single-database</w:t>
      </w:r>
      <w:r>
        <w:t xml:space="preserve"> </w:t>
      </w:r>
      <w:r>
        <w:t xml:space="preserve">lens hides.)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Interaction (panel D)</w:t>
      </w:r>
      <w:r>
        <w:t xml:space="preserve"> </w:t>
      </w:r>
      <w:r>
        <w:t xml:space="preserve">— 11 pathways shown for descriptive</w:t>
      </w:r>
      <w:r>
        <w:t xml:space="preserve"> </w:t>
      </w:r>
      <w:r>
        <w:t xml:space="preserve">reference only. At N = 24, the interaction contrast is underpowered</w:t>
      </w:r>
      <w:r>
        <w:t xml:space="preserve"> </w:t>
      </w:r>
      <w:r>
        <w:t xml:space="preserve">for formal inference (zero proteins reach FDR &lt; 0.10 and the figure</w:t>
      </w:r>
      <w:r>
        <w:t xml:space="preserve"> </w:t>
      </w:r>
      <w:r>
        <w:t xml:space="preserve">caption explicitly carries this caveat).</w:t>
      </w:r>
    </w:p>
    <w:p>
      <w:pPr>
        <w:pStyle w:val="FirstParagraph"/>
      </w:pPr>
      <w:r>
        <w:t xml:space="preserve">A supplementary expanded composite that adds GO:BP to the canonical</w:t>
      </w:r>
      <w:r>
        <w:t xml:space="preserve"> </w:t>
      </w:r>
      <w:r>
        <w:t xml:space="preserve">four-database pool provides finer-resolution biological-process terms</w:t>
      </w:r>
      <w:r>
        <w:t xml:space="preserve"> </w:t>
      </w:r>
      <w:r>
        <w:t xml:space="preserve">for readers interested in deeper annotation depth; the same conclusions</w:t>
      </w:r>
      <w:r>
        <w:t xml:space="preserve"> </w:t>
      </w:r>
      <w:r>
        <w:t xml:space="preserve">emerge but with</w:t>
      </w:r>
      <w:r>
        <w:t xml:space="preserve"> </w:t>
      </w:r>
      <w:r>
        <w:rPr>
          <w:rStyle w:val="VerbatimChar"/>
        </w:rPr>
        <w:t xml:space="preserve">GOBP_ACTIN_FILAMENT_BASED_PROCESS</w:t>
      </w:r>
      <w:r>
        <w:t xml:space="preserve"> </w:t>
      </w:r>
      <w:r>
        <w:t xml:space="preserve">and related GO:BP</w:t>
      </w:r>
      <w:r>
        <w:t xml:space="preserve"> </w:t>
      </w:r>
      <w:r>
        <w:t xml:space="preserve">terms triangulating the curated-database findings.</w:t>
      </w:r>
    </w:p>
    <w:bookmarkEnd w:id="27"/>
    <w:bookmarkStart w:id="28" w:name="Xad7a5f4aec2e8936925c435bf393e099c72bcf3"/>
    <w:p>
      <w:pPr>
        <w:pStyle w:val="Heading2"/>
      </w:pPr>
      <w:r>
        <w:t xml:space="preserve">Transplant vs Rescue concordance (Figure 3)</w:t>
      </w:r>
    </w:p>
    <w:p>
      <w:pPr>
        <w:pStyle w:val="FirstParagraph"/>
      </w:pPr>
      <w:r>
        <w:t xml:space="preserve">Figure 3 asks whether the mitochondrial transplant signature observed in</w:t>
      </w:r>
      <w:r>
        <w:t xml:space="preserve"> </w:t>
      </w:r>
      <w:r>
        <w:t xml:space="preserve">healthy cells (CTLvMITO) is the same signature observed when transplanting</w:t>
      </w:r>
      <w:r>
        <w:t xml:space="preserve"> </w:t>
      </w:r>
      <w:r>
        <w:t xml:space="preserve">into PHE-stressed cells (PHEvPHE_MITO), or whether the two contexts elicit</w:t>
      </w:r>
      <w:r>
        <w:t xml:space="preserve"> </w:t>
      </w:r>
      <w:r>
        <w:t xml:space="preserve">different effects of the same intervention.</w:t>
      </w:r>
    </w:p>
    <w:p>
      <w:pPr>
        <w:pStyle w:val="BodyText"/>
      </w:pPr>
      <w:r>
        <w:t xml:space="preserve">The NES-vs-NES quadrant scatter (Transplant on x, Rescue on y) across</w:t>
      </w:r>
      <w:r>
        <w:t xml:space="preserve"> </w:t>
      </w:r>
      <w:r>
        <w:t xml:space="preserve">the 74 shared significant pathways shows Spearman ρ = 0.626</w:t>
      </w:r>
      <w:r>
        <w:t xml:space="preserve"> </w:t>
      </w:r>
      <w:r>
        <w:t xml:space="preserve">(95% CI 0.46–0.75) — strong positive concordance. The pattern heatmap</w:t>
      </w:r>
      <w:r>
        <w:t xml:space="preserve"> </w:t>
      </w:r>
      <w:r>
        <w:t xml:space="preserve">classifies pathways into nine quadrant categories; the dominant categories</w:t>
      </w:r>
      <w:r>
        <w:t xml:space="preserve"> </w:t>
      </w:r>
      <w:r>
        <w:t xml:space="preserve">are Concordant-Up (transplant ↑, rescue ↑) and Concordant-Down (transplant</w:t>
      </w:r>
      <w:r>
        <w:t xml:space="preserve"> </w:t>
      </w:r>
      <w:r>
        <w:t xml:space="preserve">↓, rescue ↓), with virtually empty Discordant quadrants.</w:t>
      </w:r>
    </w:p>
    <w:p>
      <w:pPr>
        <w:pStyle w:val="BodyText"/>
      </w:pPr>
      <w:r>
        <w:t xml:space="preserve">The RRHO2 hotspot analysis (Cahill et al. 2018, PMID 29942049) identifies</w:t>
      </w:r>
      <w:r>
        <w:t xml:space="preserve"> </w:t>
      </w:r>
      <w:r>
        <w:t xml:space="preserve">1,629 concordant-up and 1,636 concordant-down genes; the discordant</w:t>
      </w:r>
      <w:r>
        <w:t xml:space="preserve"> </w:t>
      </w:r>
      <w:r>
        <w:t xml:space="preserve">quadrants (transplant-up but rescue-down, or vice versa) contain only</w:t>
      </w:r>
      <w:r>
        <w:t xml:space="preserve"> </w:t>
      </w:r>
      <w:r>
        <w:t xml:space="preserve">0–1 hotspot genes. Over-representation analysis on the Concordant-Up</w:t>
      </w:r>
      <w:r>
        <w:t xml:space="preserve"> </w:t>
      </w:r>
      <w:r>
        <w:t xml:space="preserve">hotspot recovers 12 deduplicated mitochondrial / OXPHOS pathways.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mitochondrial transplant intervention is highly</w:t>
      </w:r>
      <w:r>
        <w:t xml:space="preserve"> </w:t>
      </w:r>
      <w:r>
        <w:t xml:space="preserve">consistent across cellular states. Whether mitochondria are delivered to</w:t>
      </w:r>
      <w:r>
        <w:t xml:space="preserve"> </w:t>
      </w:r>
      <w:r>
        <w:t xml:space="preserve">healthy or PHE-stressed cells, the same proteomic signature emerges. This</w:t>
      </w:r>
      <w:r>
        <w:t xml:space="preserve"> </w:t>
      </w:r>
      <w:r>
        <w:t xml:space="preserve">is a precondition for treating the rescue effect (Figure 4) as a real</w:t>
      </w:r>
      <w:r>
        <w:t xml:space="preserve"> </w:t>
      </w:r>
      <w:r>
        <w:t xml:space="preserve">interaction between treatment and disease, rather than a separate effect</w:t>
      </w:r>
      <w:r>
        <w:t xml:space="preserve"> </w:t>
      </w:r>
      <w:r>
        <w:t xml:space="preserve">arising in the stressed cells alone.</w:t>
      </w:r>
    </w:p>
    <w:bookmarkEnd w:id="28"/>
    <w:bookmarkStart w:id="29" w:name="disease-vs-rescue-reversal-figure-4"/>
    <w:p>
      <w:pPr>
        <w:pStyle w:val="Heading2"/>
      </w:pPr>
      <w:r>
        <w:t xml:space="preserve">Disease vs Rescue reversal (Figure 4)</w:t>
      </w:r>
    </w:p>
    <w:p>
      <w:pPr>
        <w:pStyle w:val="FirstParagraph"/>
      </w:pPr>
      <w:r>
        <w:t xml:space="preserve">Figure 4 asks the central biological question of the dataset: does</w:t>
      </w:r>
      <w:r>
        <w:t xml:space="preserve"> </w:t>
      </w:r>
      <w:r>
        <w:t xml:space="preserve">mitochondrial transplant in PHE-stressed cells return the proteome</w:t>
      </w:r>
      <w:r>
        <w:t xml:space="preserve"> </w:t>
      </w:r>
      <w:r>
        <w:t xml:space="preserve">toward control, or does it merely add a mitochondrial signature on top</w:t>
      </w:r>
      <w:r>
        <w:t xml:space="preserve"> </w:t>
      </w:r>
      <w:r>
        <w:t xml:space="preserve">of the disease state?</w:t>
      </w:r>
    </w:p>
    <w:p>
      <w:pPr>
        <w:pStyle w:val="BodyText"/>
      </w:pPr>
      <w:r>
        <w:t xml:space="preserve">The NES-vs-NES quadrant scatter (Disease PHE-effect on x, Rescue</w:t>
      </w:r>
      <w:r>
        <w:t xml:space="preserve"> </w:t>
      </w:r>
      <w:r>
        <w:t xml:space="preserve">mito-effect on y) shows Spearman ρ =</w:t>
      </w:r>
      <w:r>
        <w:t xml:space="preserve"> </w:t>
      </w:r>
      <w:r>
        <w:rPr>
          <w:b/>
          <w:bCs/>
        </w:rPr>
        <w:t xml:space="preserve">−0.42</w:t>
      </w:r>
      <w:r>
        <w:t xml:space="preserve"> </w:t>
      </w:r>
      <w:r>
        <w:t xml:space="preserve">(95% CI −0.59 to −0.21).</w:t>
      </w:r>
      <w:r>
        <w:t xml:space="preserve"> </w:t>
      </w:r>
      <w:r>
        <w:t xml:space="preserve">The negative correlation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rescue signature: pathways perturbed</w:t>
      </w:r>
      <w:r>
        <w:t xml:space="preserve"> </w:t>
      </w:r>
      <w:r>
        <w:t xml:space="preserve">by PHE in one direction are returned in the opposite direction by</w:t>
      </w:r>
      <w:r>
        <w:t xml:space="preserve"> </w:t>
      </w:r>
      <w:r>
        <w:t xml:space="preserve">mitochondrial transplant.</w:t>
      </w:r>
    </w:p>
    <w:p>
      <w:pPr>
        <w:pStyle w:val="BodyText"/>
      </w:pPr>
      <w:r>
        <w:t xml:space="preserve">RRHO2 reveals 1,440 Disease-up genes that Rescue brings down, and 1,151</w:t>
      </w:r>
      <w:r>
        <w:t xml:space="preserve"> </w:t>
      </w:r>
      <w:r>
        <w:t xml:space="preserve">Disease-down genes that Rescue brings up. The two exacerbated quadrants</w:t>
      </w:r>
      <w:r>
        <w:t xml:space="preserve"> </w:t>
      </w:r>
      <w:r>
        <w:t xml:space="preserve">(transplant making PHE worse) contain essentially no genes. The pattern</w:t>
      </w:r>
      <w:r>
        <w:t xml:space="preserve"> </w:t>
      </w:r>
      <w:r>
        <w:t xml:space="preserve">heatmap puts most pathways in either the Reversed-DisUp-ResDown or</w:t>
      </w:r>
      <w:r>
        <w:t xml:space="preserve"> </w:t>
      </w:r>
      <w:r>
        <w:t xml:space="preserve">Reversed-DisDown-ResUp categories.</w:t>
      </w:r>
    </w:p>
    <w:p>
      <w:pPr>
        <w:pStyle w:val="BodyText"/>
      </w:pPr>
      <w:r>
        <w:t xml:space="preserve">ORA on the Reversed-DisUp-ResDown hotspot recovers 12 pathways centered</w:t>
      </w:r>
      <w:r>
        <w:t xml:space="preserve"> </w:t>
      </w:r>
      <w:r>
        <w:t xml:space="preserve">on collagen / ECM / fibrotic biology — exactly the axis that PHE drives</w:t>
      </w:r>
      <w:r>
        <w:t xml:space="preserve"> </w:t>
      </w:r>
      <w:r>
        <w:t xml:space="preserve">up and that mitochondrial transplant brings back toward control.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rescue is real and directional. Mitochondrial</w:t>
      </w:r>
      <w:r>
        <w:t xml:space="preserve"> </w:t>
      </w:r>
      <w:r>
        <w:t xml:space="preserve">transplant does not just add an OXPHOS signature on top of disease — it</w:t>
      </w:r>
      <w:r>
        <w:t xml:space="preserve"> </w:t>
      </w:r>
      <w:r>
        <w:t xml:space="preserve">actively returns the PHE-perturbed cytoskeletal / fibrotic axis toward</w:t>
      </w:r>
      <w:r>
        <w:t xml:space="preserve"> </w:t>
      </w:r>
      <w:r>
        <w:t xml:space="preserve">the control proteome.</w:t>
      </w:r>
    </w:p>
    <w:bookmarkEnd w:id="29"/>
    <w:bookmarkStart w:id="30" w:name="Xc48f48e53d15384f167d7e87831abb11ed404a2"/>
    <w:p>
      <w:pPr>
        <w:pStyle w:val="Heading2"/>
      </w:pPr>
      <w:r>
        <w:t xml:space="preserve">Pathway-set scores and module structure (Figure 5)</w:t>
      </w:r>
    </w:p>
    <w:p>
      <w:pPr>
        <w:pStyle w:val="FirstParagraph"/>
      </w:pPr>
      <w:r>
        <w:t xml:space="preserve">The set-score panel reports per-contrast effect sizes for the 416-set</w:t>
      </w:r>
      <w:r>
        <w:t xml:space="preserve"> </w:t>
      </w:r>
      <w:r>
        <w:t xml:space="preserve">harmonized collection (post Jaccard / Overlap-Coefficient dedup), scored</w:t>
      </w:r>
      <w:r>
        <w:t xml:space="preserve"> </w:t>
      </w:r>
      <w:r>
        <w:t xml:space="preserve">with both GSVA and singscore. Per-contrast Spearman correlations between</w:t>
      </w:r>
      <w:r>
        <w:t xml:space="preserve"> </w:t>
      </w:r>
      <w:r>
        <w:t xml:space="preserve">GSVA and singscore effect sizes are 0.82 (Rescue), 0.79 (Transplant),</w:t>
      </w:r>
      <w:r>
        <w:t xml:space="preserve"> </w:t>
      </w:r>
      <w:r>
        <w:t xml:space="preserve">0.78 (Disease), and 0.77 (Interaction). The two stronger contrasts clear</w:t>
      </w:r>
      <w:r>
        <w:t xml:space="preserve"> </w:t>
      </w:r>
      <w:r>
        <w:t xml:space="preserve">or sit at the ρ ≥ 0.80 methodological-agreement floor; the two weaker</w:t>
      </w:r>
      <w:r>
        <w:t xml:space="preserve"> </w:t>
      </w:r>
      <w:r>
        <w:t xml:space="preserve">contrasts sit just below, consistent with noisier method agreement when</w:t>
      </w:r>
      <w:r>
        <w:t xml:space="preserve"> </w:t>
      </w:r>
      <w:r>
        <w:t xml:space="preserve">the underlying biological effect is null (both Disease and Interaction</w:t>
      </w:r>
      <w:r>
        <w:t xml:space="preserve"> </w:t>
      </w:r>
      <w:r>
        <w:t xml:space="preserve">return 0 FDR-significant sets, so method agreement is being assessed on</w:t>
      </w:r>
      <w:r>
        <w:t xml:space="preserve"> </w:t>
      </w:r>
      <w:r>
        <w:t xml:space="preserve">noise).</w:t>
      </w:r>
    </w:p>
    <w:p>
      <w:pPr>
        <w:pStyle w:val="BodyText"/>
      </w:pPr>
      <w:r>
        <w:t xml:space="preserve">Under the LMM framework with Replicate block, 12 sets pass FDR &lt; 0.05</w:t>
      </w:r>
      <w:r>
        <w:t xml:space="preserve"> </w:t>
      </w:r>
      <w:r>
        <w:t xml:space="preserve">under Rescue, 9 under Transplant, and 0 under Disease and Interaction.</w:t>
      </w:r>
      <w:r>
        <w:t xml:space="preserve"> </w:t>
      </w:r>
      <w:r>
        <w:t xml:space="preserve">The top sets in both Transplant and Rescue are mitochondrial</w:t>
      </w:r>
      <w:r>
        <w:t xml:space="preserve"> </w:t>
      </w:r>
      <w:r>
        <w:t xml:space="preserve">(OXPHOS subunit families, mitoribosome, TCA cycle), consistent with</w:t>
      </w:r>
      <w:r>
        <w:t xml:space="preserve"> </w:t>
      </w:r>
      <w:r>
        <w:t xml:space="preserve">Figures 2-4.</w:t>
      </w:r>
    </w:p>
    <w:p>
      <w:pPr>
        <w:pStyle w:val="BodyText"/>
      </w:pPr>
      <w:r>
        <w:t xml:space="preserve">A WGCNA supplementary panel reports seven non-grey modules with 35</w:t>
      </w:r>
      <w:r>
        <w:t xml:space="preserve"> </w:t>
      </w:r>
      <w:r>
        <w:t xml:space="preserve">designated hub proteins. The module-eigengene LMMs are explicitly</w:t>
      </w:r>
      <w:r>
        <w:t xml:space="preserve"> </w:t>
      </w:r>
      <w:r>
        <w:t xml:space="preserve">labeled EXPLORATORY because of the circular-analysis problem (Methods).</w:t>
      </w:r>
      <w:r>
        <w:t xml:space="preserve"> </w:t>
      </w:r>
      <w:r>
        <w:t xml:space="preserve">The module-NES diptych against Hallmark + Reactome + MitoCarta provides</w:t>
      </w:r>
      <w:r>
        <w:t xml:space="preserve"> </w:t>
      </w:r>
      <w:r>
        <w:t xml:space="preserve">a functional ledger of what each module corresponds to and supports the</w:t>
      </w:r>
      <w:r>
        <w:t xml:space="preserve"> </w:t>
      </w:r>
      <w:r>
        <w:t xml:space="preserve">mitochondrial-axis dominance of the dataset.</w:t>
      </w:r>
    </w:p>
    <w:bookmarkEnd w:id="30"/>
    <w:bookmarkStart w:id="31" w:name="Xcac81864c1b6ac708c43efff086ff302dd55595"/>
    <w:p>
      <w:pPr>
        <w:pStyle w:val="Heading2"/>
      </w:pPr>
      <w:r>
        <w:t xml:space="preserve">OXPHOS complex stoichiometry and mitonuclear balance (Figure 6)</w:t>
      </w:r>
    </w:p>
    <w:p>
      <w:pPr>
        <w:pStyle w:val="FirstParagraph"/>
      </w:pPr>
      <w:r>
        <w:t xml:space="preserve">Per-complex camera test results for each OXPHOS complex (and the</w:t>
      </w:r>
      <w:r>
        <w:t xml:space="preserve"> </w:t>
      </w:r>
      <w:r>
        <w:t xml:space="preserve">mitoribosome) under each of the three biologically meaningful contrasts: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Transplant (UP)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Rescue (UP)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OXPHOS_all (n = 64)</w:t>
            </w:r>
          </w:p>
        </w:tc>
        <w:tc>
          <w:tcPr/>
          <w:p>
            <w:pPr>
              <w:pStyle w:val="Compact"/>
            </w:pPr>
            <w:r>
              <w:t xml:space="preserve">p = 0.026</w:t>
            </w:r>
          </w:p>
        </w:tc>
        <w:tc>
          <w:tcPr/>
          <w:p>
            <w:pPr>
              <w:pStyle w:val="Compact"/>
            </w:pPr>
            <w:r>
              <w:t xml:space="preserve">p = 0.26 (Down)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= 3.2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V (ATP synthase, n = 15)</w:t>
            </w:r>
          </w:p>
        </w:tc>
        <w:tc>
          <w:tcPr/>
          <w:p>
            <w:pPr>
              <w:pStyle w:val="Compact"/>
            </w:pPr>
            <w:r>
              <w:t xml:space="preserve">p = 0.025</w:t>
            </w:r>
          </w:p>
        </w:tc>
        <w:tc>
          <w:tcPr/>
          <w:p>
            <w:pPr>
              <w:pStyle w:val="Compact"/>
            </w:pPr>
            <w:r>
              <w:t xml:space="preserve">p = 0.12 (Down)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= 3.8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Mitoribosome (n = 55)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= 3.5 × 10⁻³</w:t>
            </w:r>
          </w:p>
        </w:tc>
        <w:tc>
          <w:tcPr/>
          <w:p>
            <w:pPr>
              <w:pStyle w:val="Compact"/>
            </w:pPr>
            <w:r>
              <w:t xml:space="preserve">p = 0.55</w:t>
            </w:r>
          </w:p>
        </w:tc>
        <w:tc>
          <w:tcPr/>
          <w:p>
            <w:pPr>
              <w:pStyle w:val="Compact"/>
            </w:pPr>
            <w:r>
              <w:t xml:space="preserve">p = 4.9 × 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I (n = 30)</w:t>
            </w:r>
          </w:p>
        </w:tc>
        <w:tc>
          <w:tcPr/>
          <w:p>
            <w:pPr>
              <w:pStyle w:val="Compact"/>
            </w:pPr>
            <w:r>
              <w:t xml:space="preserve">p = 0.36</w:t>
            </w:r>
          </w:p>
        </w:tc>
        <w:tc>
          <w:tcPr/>
          <w:p>
            <w:pPr>
              <w:pStyle w:val="Compact"/>
            </w:pPr>
            <w:r>
              <w:t xml:space="preserve">p = 0.19 (Down)</w:t>
            </w:r>
          </w:p>
        </w:tc>
        <w:tc>
          <w:tcPr/>
          <w:p>
            <w:pPr>
              <w:pStyle w:val="Compact"/>
            </w:pPr>
            <w:r>
              <w:t xml:space="preserve">p =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III (n = 8)</w:t>
            </w:r>
          </w:p>
        </w:tc>
        <w:tc>
          <w:tcPr/>
          <w:p>
            <w:pPr>
              <w:pStyle w:val="Compact"/>
            </w:pPr>
            <w:r>
              <w:t xml:space="preserve">p = 0.44</w:t>
            </w:r>
          </w:p>
        </w:tc>
        <w:tc>
          <w:tcPr/>
          <w:p>
            <w:pPr>
              <w:pStyle w:val="Compact"/>
            </w:pPr>
            <w:r>
              <w:t xml:space="preserve">p = 0.37 (Down)</w:t>
            </w:r>
          </w:p>
        </w:tc>
        <w:tc>
          <w:tcPr/>
          <w:p>
            <w:pPr>
              <w:pStyle w:val="Compact"/>
            </w:pPr>
            <w:r>
              <w:t xml:space="preserve">p = 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IV (n = 11)</w:t>
            </w:r>
          </w:p>
        </w:tc>
        <w:tc>
          <w:tcPr/>
          <w:p>
            <w:pPr>
              <w:pStyle w:val="Compact"/>
            </w:pPr>
            <w:r>
              <w:t xml:space="preserve">p = 0.12</w:t>
            </w:r>
          </w:p>
        </w:tc>
        <w:tc>
          <w:tcPr/>
          <w:p>
            <w:pPr>
              <w:pStyle w:val="Compact"/>
            </w:pPr>
            <w:r>
              <w:t xml:space="preserve">p = 0.10</w:t>
            </w:r>
          </w:p>
        </w:tc>
        <w:tc>
          <w:tcPr/>
          <w:p>
            <w:pPr>
              <w:pStyle w:val="Compact"/>
            </w:pPr>
            <w:r>
              <w:t xml:space="preserve">p = 0.41</w:t>
            </w:r>
          </w:p>
        </w:tc>
      </w:tr>
    </w:tbl>
    <w:p>
      <w:pPr>
        <w:pStyle w:val="BodyText"/>
      </w:pPr>
      <w:r>
        <w:t xml:space="preserve">The Rescue camera signal for OXPHOS_all (p = 3.2 × 10⁻⁵, FDR = 2 × 10⁻⁴)</w:t>
      </w:r>
      <w:r>
        <w:t xml:space="preserve"> </w:t>
      </w:r>
      <w:r>
        <w:t xml:space="preserve">is the single largest statistical signal in the dataset. Complex V and</w:t>
      </w:r>
      <w:r>
        <w:t xml:space="preserve"> </w:t>
      </w:r>
      <w:r>
        <w:t xml:space="preserve">the mitoribosome are the most-affected sub-units under Transplant; under</w:t>
      </w:r>
      <w:r>
        <w:t xml:space="preserve"> </w:t>
      </w:r>
      <w:r>
        <w:t xml:space="preserve">Rescue, every complex except IV becomes individually significant.</w:t>
      </w:r>
    </w:p>
    <w:p>
      <w:pPr>
        <w:pStyle w:val="BodyText"/>
      </w:pPr>
      <w:r>
        <w:rPr>
          <w:b/>
          <w:bCs/>
        </w:rPr>
        <w:t xml:space="preserve">Mitonuclear balance</w:t>
      </w:r>
      <w:r>
        <w:t xml:space="preserve"> </w:t>
      </w:r>
      <w:r>
        <w:t xml:space="preserve">(mtDNA-encoded vs nuclear-encoded OXPHOS subunit</w:t>
      </w:r>
      <w:r>
        <w:t xml:space="preserve"> </w:t>
      </w:r>
      <w:r>
        <w:t xml:space="preserve">ratio, per Houtkooper et al. 2013 PMID 23698443) is positive and</w:t>
      </w:r>
      <w:r>
        <w:t xml:space="preserve"> </w:t>
      </w:r>
      <w:r>
        <w:t xml:space="preserve">significant under Transplant (estimate = +0.20, FDR = 0.035) and</w:t>
      </w:r>
      <w:r>
        <w:t xml:space="preserve"> </w:t>
      </w:r>
      <w:r>
        <w:t xml:space="preserve">near-significant under Rescue (estimate = +0.15, FDR = 0.075).</w:t>
      </w:r>
      <w:r>
        <w:t xml:space="preserve"> </w:t>
      </w:r>
      <w:r>
        <w:rPr>
          <w:b/>
          <w:bCs/>
        </w:rPr>
        <w:t xml:space="preserve">mtDNA-</w:t>
      </w:r>
      <w:r>
        <w:rPr>
          <w:b/>
          <w:bCs/>
        </w:rPr>
        <w:t xml:space="preserve"> </w:t>
      </w:r>
      <w:r>
        <w:rPr>
          <w:b/>
          <w:bCs/>
        </w:rPr>
        <w:t xml:space="preserve">encoded subunits gain more than nuclear-encoded subunits under</w:t>
      </w:r>
      <w:r>
        <w:rPr>
          <w:b/>
          <w:bCs/>
        </w:rPr>
        <w:t xml:space="preserve"> </w:t>
      </w:r>
      <w:r>
        <w:rPr>
          <w:b/>
          <w:bCs/>
        </w:rPr>
        <w:t xml:space="preserve">mitochondrial transplant</w:t>
      </w:r>
      <w:r>
        <w:t xml:space="preserve"> </w:t>
      </w:r>
      <w:r>
        <w:t xml:space="preserve">— direct evidence that the delivered cargo</w:t>
      </w:r>
      <w:r>
        <w:t xml:space="preserve"> </w:t>
      </w:r>
      <w:r>
        <w:t xml:space="preserve">includes intact mitochondrial DNA and its translated products. This is</w:t>
      </w:r>
      <w:r>
        <w:t xml:space="preserve"> </w:t>
      </w:r>
      <w:r>
        <w:t xml:space="preserve">supported molecularly by Mt-nd4 (mtDNA-encoded Complex I subunit) being</w:t>
      </w:r>
      <w:r>
        <w:t xml:space="preserve"> </w:t>
      </w:r>
      <w:r>
        <w:t xml:space="preserve">a top-20 per-protein hit in CTLvMITO at logFC = +0.99.</w:t>
      </w:r>
    </w:p>
    <w:p>
      <w:pPr>
        <w:pStyle w:val="BodyText"/>
      </w:pPr>
      <w:r>
        <w:t xml:space="preserve">The pair-stoichiometry LMM (AlteredPQR-style analysis) returned 0 FDR-</w:t>
      </w:r>
      <w:r>
        <w:t xml:space="preserve"> </w:t>
      </w:r>
      <w:r>
        <w:t xml:space="preserve">significant subunit-pair imbalance effects. The covariation supplement</w:t>
      </w:r>
      <w:r>
        <w:t xml:space="preserve"> </w:t>
      </w:r>
      <w:r>
        <w:t xml:space="preserve">shows weak per-complex subunit cohesion (range 0.02-0.13), reflecting</w:t>
      </w:r>
      <w:r>
        <w:t xml:space="preserve"> </w:t>
      </w:r>
      <w:r>
        <w:t xml:space="preserve">the limited power available at N = 24 to detect stoichiometric</w:t>
      </w:r>
      <w:r>
        <w:t xml:space="preserve"> </w:t>
      </w:r>
      <w:r>
        <w:t xml:space="preserve">asymmetries. This portion of the analysis is documented as exploratory.</w:t>
      </w:r>
    </w:p>
    <w:bookmarkEnd w:id="31"/>
    <w:bookmarkStart w:id="36" w:name="per-contrast-biological-summary"/>
    <w:p>
      <w:pPr>
        <w:pStyle w:val="Heading2"/>
      </w:pPr>
      <w:r>
        <w:t xml:space="preserve">Per-contrast biological summary</w:t>
      </w:r>
    </w:p>
    <w:bookmarkStart w:id="32" w:name="ctlvphe-α1-adrenergic-stress"/>
    <w:p>
      <w:pPr>
        <w:pStyle w:val="Heading3"/>
      </w:pPr>
      <w:r>
        <w:t xml:space="preserve">CTLvPHE — α1-adrenergic stress</w:t>
      </w:r>
    </w:p>
    <w:p>
      <w:pPr>
        <w:pStyle w:val="FirstParagraph"/>
      </w:pPr>
      <w:r>
        <w:t xml:space="preserve">At the protein level, PHE upregulates</w:t>
      </w:r>
      <w:r>
        <w:t xml:space="preserve"> </w:t>
      </w:r>
      <w:r>
        <w:rPr>
          <w:b/>
          <w:bCs/>
        </w:rPr>
        <w:t xml:space="preserve">Ccn2 / CTGF</w:t>
      </w:r>
      <w:r>
        <w:t xml:space="preserve"> </w:t>
      </w:r>
      <w:r>
        <w:t xml:space="preserve">(logFC = +0.56,</w:t>
      </w:r>
      <w:r>
        <w:t xml:space="preserve"> </w:t>
      </w:r>
      <w:r>
        <w:t xml:space="preserve">FDR = 0.013), a canonical α1-adrenergic and fibrotic target, and</w:t>
      </w:r>
      <w:r>
        <w:t xml:space="preserve"> </w:t>
      </w:r>
      <w:r>
        <w:t xml:space="preserve">downregulates the Complex V subunit</w:t>
      </w:r>
      <w:r>
        <w:t xml:space="preserve"> </w:t>
      </w:r>
      <w:r>
        <w:rPr>
          <w:b/>
          <w:bCs/>
        </w:rPr>
        <w:t xml:space="preserve">Atp5mk</w:t>
      </w:r>
      <w:r>
        <w:t xml:space="preserve"> </w:t>
      </w:r>
      <w:r>
        <w:t xml:space="preserve">(logFC = −0.37). The</w:t>
      </w:r>
      <w:r>
        <w:t xml:space="preserve"> </w:t>
      </w:r>
      <w:r>
        <w:t xml:space="preserve">broader CTLvPHE signature captures extracellular-matrix remodeling</w:t>
      </w:r>
      <w:r>
        <w:t xml:space="preserve"> </w:t>
      </w:r>
      <w:r>
        <w:t xml:space="preserve">(Postn, Fn1 trending), early OXPHOS depression, and mitoribosomal</w:t>
      </w:r>
      <w:r>
        <w:t xml:space="preserve"> </w:t>
      </w:r>
      <w:r>
        <w:t xml:space="preserve">stress (Mrpl9 logFC = +2.12). At the pathway level (Figure 2 panel C),</w:t>
      </w:r>
      <w:r>
        <w:t xml:space="preserve"> </w:t>
      </w:r>
      <w:r>
        <w:t xml:space="preserve">the fibrotic / sarcomeric / ECM-remodeling axis emerges through</w:t>
      </w:r>
      <w:r>
        <w:t xml:space="preserve"> </w:t>
      </w:r>
      <w:r>
        <w:t xml:space="preserve">KEGG_ECM_RECEPTOR_INTERACTION, REACTOME_STRIATED_MUSCLE_CONTRACTION,</w:t>
      </w:r>
      <w:r>
        <w:t xml:space="preserve"> </w:t>
      </w:r>
      <w:r>
        <w:t xml:space="preserve">REACTOME_DYSTROPHIN_GLYCOPROTEIN_COMPLEX, HALLMARK_EMT, and</w:t>
      </w:r>
      <w:r>
        <w:t xml:space="preserve"> </w:t>
      </w:r>
      <w:r>
        <w:t xml:space="preserve">KEGG_DILATED_CARDIOMYOPATHY, paired with proliferation arrest</w:t>
      </w:r>
      <w:r>
        <w:t xml:space="preserve"> </w:t>
      </w:r>
      <w:r>
        <w:t xml:space="preserve">(HALLMARK_MYC_TARGETS, REACTOME_DNA_REPLICATION, HALLMARK_E2F_TARGETS</w:t>
      </w:r>
      <w:r>
        <w:t xml:space="preserve"> </w:t>
      </w:r>
      <w:r>
        <w:t xml:space="preserve">down). All of this is consistent with Hahn et al. 2014 (PMID 24794531;</w:t>
      </w:r>
      <w:r>
        <w:t xml:space="preserve"> </w:t>
      </w:r>
      <w:r>
        <w:t xml:space="preserve">NADPH oxidase-2 / ROS axis) and Jeong et al. 2009 (PMID 19299911; STAT3</w:t>
      </w:r>
      <w:r>
        <w:t xml:space="preserve"> </w:t>
      </w:r>
      <w:r>
        <w:t xml:space="preserve">mitochondrial translocation suppressing OXPHOS).</w:t>
      </w:r>
    </w:p>
    <w:p>
      <w:pPr>
        <w:pStyle w:val="BodyText"/>
      </w:pPr>
      <w:r>
        <w:rPr>
          <w:b/>
          <w:bCs/>
        </w:rPr>
        <w:t xml:space="preserve">An important caveat for the Discussion</w:t>
      </w:r>
      <w:r>
        <w:t xml:space="preserve">: the canonical in-vivo</w:t>
      </w:r>
      <w:r>
        <w:t xml:space="preserve"> </w:t>
      </w:r>
      <w:r>
        <w:t xml:space="preserve">cardiac-hypertrophy fetal-gene program (NPPA / NPPB / Myh7 / Acta1</w:t>
      </w:r>
      <w:r>
        <w:t xml:space="preserve"> </w:t>
      </w:r>
      <w:r>
        <w:t xml:space="preserve">upregulation) is not recovered at the protein level here. NPPA / NPPB</w:t>
      </w:r>
      <w:r>
        <w:t xml:space="preserve"> </w:t>
      </w:r>
      <w:r>
        <w:t xml:space="preserve">were not detected in the mass spectrum; Myh7, Acta1, Stat3, Cav3, and</w:t>
      </w:r>
      <w:r>
        <w:t xml:space="preserve"> </w:t>
      </w:r>
      <w:r>
        <w:t xml:space="preserve">Tnnt2 returned essentially flat logFC values (|logFC| &lt; 0.2, all</w:t>
      </w:r>
      <w:r>
        <w:t xml:space="preserve"> </w:t>
      </w:r>
      <w:r>
        <w:t xml:space="preserve">FDR &gt; 0.8). This is consistent with known H9c2 biology: cultured H9c2</w:t>
      </w:r>
      <w:r>
        <w:t xml:space="preserve"> </w:t>
      </w:r>
      <w:r>
        <w:t xml:space="preserve">cardiomyoblasts express embryonic sarcomeric isoforms (e.g. Myh3 — which</w:t>
      </w:r>
      <w:r>
        <w:t xml:space="preserve"> </w:t>
      </w:r>
      <w:r>
        <w:t xml:space="preserve">IS upregulated under Transplant in CTLvMITO) rather than reactivating</w:t>
      </w:r>
      <w:r>
        <w:t xml:space="preserve"> </w:t>
      </w:r>
      <w:r>
        <w:t xml:space="preserve">the adult fetal-gene reprogram seen in cardiomyocyte hypertrophy in vivo.</w:t>
      </w:r>
      <w:r>
        <w:t xml:space="preserve"> </w:t>
      </w:r>
      <w:r>
        <w:t xml:space="preserve">The hypertrophy signature recovered here should therefore be interpreted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fibrotic + early-OXPHOS arm</w:t>
      </w:r>
      <w:r>
        <w:t xml:space="preserve"> </w:t>
      </w:r>
      <w:r>
        <w:t xml:space="preserve">of PHE α1-adrenergic stress, not</w:t>
      </w:r>
      <w:r>
        <w:t xml:space="preserve"> </w:t>
      </w:r>
      <w:r>
        <w:t xml:space="preserve">the full in-vivo fetal-gene reprogram.</w:t>
      </w:r>
    </w:p>
    <w:bookmarkEnd w:id="32"/>
    <w:bookmarkStart w:id="33" w:name="X6571e2ac68faa037ba03a1fd24977bf11bda411"/>
    <w:p>
      <w:pPr>
        <w:pStyle w:val="Heading3"/>
      </w:pPr>
      <w:r>
        <w:t xml:space="preserve">CTLvMITO — mitochondrial transplant in healthy cells</w:t>
      </w:r>
    </w:p>
    <w:p>
      <w:pPr>
        <w:pStyle w:val="FirstParagraph"/>
      </w:pPr>
      <w:r>
        <w:t xml:space="preserve">Top-Π hits are dominated by mitochondrial proteins:</w:t>
      </w:r>
      <w:r>
        <w:t xml:space="preserve"> </w:t>
      </w:r>
      <w:r>
        <w:rPr>
          <w:b/>
          <w:bCs/>
        </w:rPr>
        <w:t xml:space="preserve">Aldh3a1</w:t>
      </w:r>
      <w:r>
        <w:t xml:space="preserve"> </w:t>
      </w:r>
      <w:r>
        <w:t xml:space="preserve">(logFC = +1.80, FDR = 6 × 10⁻⁸),</w:t>
      </w:r>
      <w:r>
        <w:t xml:space="preserve"> </w:t>
      </w:r>
      <w:r>
        <w:rPr>
          <w:b/>
          <w:bCs/>
        </w:rPr>
        <w:t xml:space="preserve">Vdac1</w:t>
      </w:r>
      <w:r>
        <w:t xml:space="preserve"> </w:t>
      </w:r>
      <w:r>
        <w:t xml:space="preserve">(logFC = +0.56, FDR = 2 × 10⁻⁴),</w:t>
      </w:r>
      <w:r>
        <w:t xml:space="preserve"> </w:t>
      </w:r>
      <w:r>
        <w:rPr>
          <w:b/>
          <w:bCs/>
        </w:rPr>
        <w:t xml:space="preserve">Vdac2</w:t>
      </w:r>
      <w:r>
        <w:t xml:space="preserve"> </w:t>
      </w:r>
      <w:r>
        <w:t xml:space="preserve">(logFC = +0.42, FDR = 6 × 10⁻³), and the mtDNA-encoded</w:t>
      </w:r>
      <w:r>
        <w:t xml:space="preserve"> </w:t>
      </w:r>
      <w:r>
        <w:rPr>
          <w:b/>
          <w:bCs/>
        </w:rPr>
        <w:t xml:space="preserve">Mt-nd4</w:t>
      </w:r>
      <w:r>
        <w:t xml:space="preserve"> </w:t>
      </w:r>
      <w:r>
        <w:t xml:space="preserve">(logFC = +0.99). Combined with the Figure 2 MitoCarta-pathway</w:t>
      </w:r>
      <w:r>
        <w:t xml:space="preserve"> </w:t>
      </w:r>
      <w:r>
        <w:t xml:space="preserve">NES profile and the Figure 6 mitoribosome + Complex V camera signals,</w:t>
      </w:r>
      <w:r>
        <w:t xml:space="preserve"> </w:t>
      </w:r>
      <w:r>
        <w:t xml:space="preserve">the data describe organelle-scale cargo delivery (outer-membrane channels,</w:t>
      </w:r>
      <w:r>
        <w:t xml:space="preserve"> </w:t>
      </w:r>
      <w:r>
        <w:t xml:space="preserve">matrix enzymes, mtDNA-encoded subunits) into recipient cardiomyoblasts.</w:t>
      </w:r>
      <w:r>
        <w:t xml:space="preserve"> </w:t>
      </w:r>
      <w:r>
        <w:t xml:space="preserve">This recapitulates the cell-autonomous mitochondrial-delivery signature</w:t>
      </w:r>
      <w:r>
        <w:t xml:space="preserve"> </w:t>
      </w:r>
      <w:r>
        <w:t xml:space="preserve">described by Masuzawa et al. 2013 (PMID 23355340).</w:t>
      </w:r>
    </w:p>
    <w:bookmarkEnd w:id="33"/>
    <w:bookmarkStart w:id="34" w:name="phevphe_mito-rescue"/>
    <w:p>
      <w:pPr>
        <w:pStyle w:val="Heading3"/>
      </w:pPr>
      <w:r>
        <w:t xml:space="preserve">PHEvPHE_MITO — rescue</w:t>
      </w:r>
    </w:p>
    <w:p>
      <w:pPr>
        <w:pStyle w:val="FirstParagraph"/>
      </w:pPr>
      <w:r>
        <w:t xml:space="preserve">The rescue contrast carries an even stronger mito-delivery signature</w:t>
      </w:r>
      <w:r>
        <w:t xml:space="preserve"> </w:t>
      </w:r>
      <w:r>
        <w:t xml:space="preserve">than CTLvMITO: all three VDAC isoforms (Vdac1 +0.71, Vdac2 +0.57,</w:t>
      </w:r>
      <w:r>
        <w:t xml:space="preserve"> </w:t>
      </w:r>
      <w:r>
        <w:t xml:space="preserve">Vdac3 +0.49) plus Aldh3a1 (+1.83) appear in the top 25 by Π. The</w:t>
      </w:r>
      <w:r>
        <w:t xml:space="preserve"> </w:t>
      </w:r>
      <w:r>
        <w:t xml:space="preserve">peroxiredoxin-like Prxl2a (+1.09) suggests an antioxidant arm consistent</w:t>
      </w:r>
      <w:r>
        <w:t xml:space="preserve"> </w:t>
      </w:r>
      <w:r>
        <w:t xml:space="preserve">with rescue of PHE-driven NOX2 / ROS production (Hahn 2014). The</w:t>
      </w:r>
      <w:r>
        <w:t xml:space="preserve"> </w:t>
      </w:r>
      <w:r>
        <w:t xml:space="preserve">Figure 4 concordance ρ = −0.42 and the Figure 6 camera OXPHOS_all</w:t>
      </w:r>
      <w:r>
        <w:t xml:space="preserve"> </w:t>
      </w:r>
      <w:r>
        <w:t xml:space="preserve">p = 3.2 × 10⁻⁵ together make this the strongest single biological</w:t>
      </w:r>
      <w:r>
        <w:t xml:space="preserve"> </w:t>
      </w:r>
      <w:r>
        <w:t xml:space="preserve">signal in the dataset, aligned with Doulamis et al. 2024 (PMID 39732955)</w:t>
      </w:r>
      <w:r>
        <w:t xml:space="preserve"> </w:t>
      </w:r>
      <w:r>
        <w:t xml:space="preserve">mitochondrial-transplant normalization of the proteome in ischemia-</w:t>
      </w:r>
      <w:r>
        <w:t xml:space="preserve"> </w:t>
      </w:r>
      <w:r>
        <w:t xml:space="preserve">reperfusion injury.</w:t>
      </w:r>
    </w:p>
    <w:bookmarkEnd w:id="34"/>
    <w:bookmarkStart w:id="35" w:name="interaction-descriptive-only"/>
    <w:p>
      <w:pPr>
        <w:pStyle w:val="Heading3"/>
      </w:pPr>
      <w:r>
        <w:t xml:space="preserve">Interaction — descriptive only</w:t>
      </w:r>
    </w:p>
    <w:p>
      <w:pPr>
        <w:pStyle w:val="FirstParagraph"/>
      </w:pPr>
      <w:r>
        <w:t xml:space="preserve">Zero FDR-significant proteins, consistent with the N = 24 power</w:t>
      </w:r>
      <w:r>
        <w:t xml:space="preserve"> </w:t>
      </w:r>
      <w:r>
        <w:t xml:space="preserve">constraint. Direction-only inspection shows a faint mito-axis signal</w:t>
      </w:r>
      <w:r>
        <w:t xml:space="preserve"> </w:t>
      </w:r>
      <w:r>
        <w:t xml:space="preserve">(Ndufb4l4 logFC = +0.83, Mrpl27 logFC = +0.76) that should not be</w:t>
      </w:r>
      <w:r>
        <w:t xml:space="preserve"> </w:t>
      </w:r>
      <w:r>
        <w:t xml:space="preserve">interpreted further given the adj-P-value range (0.34 – 0.98). The</w:t>
      </w:r>
      <w:r>
        <w:t xml:space="preserve"> </w:t>
      </w:r>
      <w:r>
        <w:t xml:space="preserve">“Interaction underpowered at N = 24”</w:t>
      </w:r>
      <w:r>
        <w:t xml:space="preserve"> </w:t>
      </w:r>
      <w:r>
        <w:t xml:space="preserve">caveat on every composite figure</w:t>
      </w:r>
      <w:r>
        <w:t xml:space="preserve"> </w:t>
      </w:r>
      <w:r>
        <w:t xml:space="preserve">footer is the appropriate representation.</w:t>
      </w:r>
    </w:p>
    <w:bookmarkEnd w:id="35"/>
    <w:bookmarkEnd w:id="36"/>
    <w:bookmarkStart w:id="37" w:name="method-robustness-summary"/>
    <w:p>
      <w:pPr>
        <w:pStyle w:val="Heading2"/>
      </w:pPr>
      <w:r>
        <w:t xml:space="preserve">Method robustness summary</w:t>
      </w:r>
    </w:p>
    <w:p>
      <w:pPr>
        <w:pStyle w:val="FirstParagraph"/>
      </w:pPr>
      <w:r>
        <w:t xml:space="preserve">The analysis is methodologically robust to the major sensitivity tests: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Imputation choice does not drive results.</w:t>
      </w:r>
      <w:r>
        <w:t xml:space="preserve"> </w:t>
      </w:r>
      <w:r>
        <w:t xml:space="preserve">Per-contrast Spearman ρ</w:t>
      </w:r>
      <w:r>
        <w:t xml:space="preserve"> </w:t>
      </w:r>
      <w:r>
        <w:t xml:space="preserve">between the primary missForest imputation and an alternative imputation</w:t>
      </w:r>
      <w:r>
        <w:t xml:space="preserve"> </w:t>
      </w:r>
      <w:r>
        <w:t xml:space="preserve">ranged from 0.992 to 0.997 across all five contrasts.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Reinjection imbalance does not drive results in the core contrasts.</w:t>
      </w:r>
      <w:r>
        <w:t xml:space="preserve"> </w:t>
      </w:r>
      <w:r>
        <w:t xml:space="preserve">Per-contrast ρ with the four</w:t>
      </w:r>
      <w:r>
        <w:t xml:space="preserve"> </w:t>
      </w:r>
      <w:r>
        <w:rPr>
          <w:rStyle w:val="VerbatimChar"/>
        </w:rPr>
        <w:t xml:space="preserve">r</w:t>
      </w:r>
      <w:r>
        <w:t xml:space="preserve">-suffixed re-injection samples removed</w:t>
      </w:r>
      <w:r>
        <w:t xml:space="preserve"> </w:t>
      </w:r>
      <w:r>
        <w:t xml:space="preserve">was ≥ 0.95 for the four core contrasts. The secondary MITOvPHE_MITO</w:t>
      </w:r>
      <w:r>
        <w:t xml:space="preserve"> </w:t>
      </w:r>
      <w:r>
        <w:t xml:space="preserve">comparison dropped to ρ = 0.82, which is documented as the largest</w:t>
      </w:r>
      <w:r>
        <w:t xml:space="preserve"> </w:t>
      </w:r>
      <w:r>
        <w:t xml:space="preserve">open caveat in the dataset and the reason MITOvPHE_MITO is not</w:t>
      </w:r>
      <w:r>
        <w:t xml:space="preserve"> </w:t>
      </w:r>
      <w:r>
        <w:t xml:space="preserve">interpreted as a primary biological contrast.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Variance-moderation choice does not drive results.</w:t>
      </w:r>
      <w:r>
        <w:t xml:space="preserve"> </w:t>
      </w:r>
      <w:r>
        <w:t xml:space="preserve">Robust empirical-</w:t>
      </w:r>
      <w:r>
        <w:t xml:space="preserve"> </w:t>
      </w:r>
      <w:r>
        <w:t xml:space="preserve">Bayes moderation returned identical FDR and Π counts to the default in</w:t>
      </w:r>
      <w:r>
        <w:t xml:space="preserve"> </w:t>
      </w:r>
      <w:r>
        <w:t xml:space="preserve">all contrasts.</w:t>
      </w:r>
    </w:p>
    <w:bookmarkEnd w:id="37"/>
    <w:bookmarkStart w:id="38" w:name="open-caveats"/>
    <w:p>
      <w:pPr>
        <w:pStyle w:val="Heading2"/>
      </w:pPr>
      <w:r>
        <w:t xml:space="preserve">Open caveats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H9c2 cell-line caveat.</w:t>
      </w:r>
      <w:r>
        <w:t xml:space="preserve"> </w:t>
      </w:r>
      <w:r>
        <w:t xml:space="preserve">H9c2 cardiomyoblasts under-express the</w:t>
      </w:r>
      <w:r>
        <w:t xml:space="preserve"> </w:t>
      </w:r>
      <w:r>
        <w:t xml:space="preserve">in-vivo fetal-gene cardiac-hypertrophy reprogram. PHE-induced</w:t>
      </w:r>
      <w:r>
        <w:t xml:space="preserve"> </w:t>
      </w:r>
      <w:r>
        <w:t xml:space="preserve">hypertrophy in this system is recovered as fibrotic and early-OXPHOS</w:t>
      </w:r>
      <w:r>
        <w:t xml:space="preserve"> </w:t>
      </w:r>
      <w:r>
        <w:t xml:space="preserve">depression signatures rather than NPPA / NPPB / Myh7 upregulation.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Reinjection imbalance.</w:t>
      </w:r>
      <w:r>
        <w:t xml:space="preserve"> </w:t>
      </w:r>
      <w:r>
        <w:t xml:space="preserve">Four</w:t>
      </w:r>
      <w:r>
        <w:t xml:space="preserve"> </w:t>
      </w:r>
      <w:r>
        <w:rPr>
          <w:rStyle w:val="VerbatimChar"/>
        </w:rPr>
        <w:t xml:space="preserve">r</w:t>
      </w:r>
      <w:r>
        <w:t xml:space="preserve">-suffixed re-injection samples</w:t>
      </w:r>
      <w:r>
        <w:t xml:space="preserve"> </w:t>
      </w:r>
      <w:r>
        <w:t xml:space="preserve">are imbalanced across groups (Ctl 1, Mito 0, PHE 2, PHE_Mito 3).</w:t>
      </w:r>
      <w:r>
        <w:t xml:space="preserve"> </w:t>
      </w:r>
      <w:r>
        <w:t xml:space="preserve">Sensitivity refits show core contrasts robust (Spearman ρ 0.95-0.99);</w:t>
      </w:r>
      <w:r>
        <w:t xml:space="preserve"> </w:t>
      </w:r>
      <w:r>
        <w:t xml:space="preserve">the secondary MITOvPHE_MITO comparison drops to ρ = 0.82.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Power.</w:t>
      </w:r>
      <w:r>
        <w:t xml:space="preserve"> </w:t>
      </w:r>
      <w:r>
        <w:t xml:space="preserve">N = 24 (n = 6 / group) supports the three primary</w:t>
      </w:r>
      <w:r>
        <w:t xml:space="preserve"> </w:t>
      </w:r>
      <w:r>
        <w:t xml:space="preserve">contrasts but underpowers the Interaction term and the AlteredPQR</w:t>
      </w:r>
      <w:r>
        <w:t xml:space="preserve"> </w:t>
      </w:r>
      <w:r>
        <w:t xml:space="preserve">pair-stoichiometry tests. The covariation supplement (cohesion</w:t>
      </w:r>
      <w:r>
        <w:t xml:space="preserve"> </w:t>
      </w:r>
      <w:r>
        <w:t xml:space="preserve">0.02-0.13) is flagged accordingly.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WGCNA circularity.</w:t>
      </w:r>
      <w:r>
        <w:t xml:space="preserve"> </w:t>
      </w:r>
      <w:r>
        <w:t xml:space="preserve">Module eigengene LMMs use the same dataset</w:t>
      </w:r>
      <w:r>
        <w:t xml:space="preserve"> </w:t>
      </w:r>
      <w:r>
        <w:t xml:space="preserve">that the modules were derived from. The WGCNA supplement is</w:t>
      </w:r>
      <w:r>
        <w:t xml:space="preserve"> </w:t>
      </w:r>
      <w:r>
        <w:t xml:space="preserve">explicitly labeled EXPLORATORY and should not be used as an</w:t>
      </w:r>
      <w:r>
        <w:t xml:space="preserve"> </w:t>
      </w:r>
      <w:r>
        <w:t xml:space="preserve">independent statistical claim.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In-vitro α1-adrenergic stimulation.</w:t>
      </w:r>
      <w:r>
        <w:t xml:space="preserve"> </w:t>
      </w:r>
      <w:r>
        <w:t xml:space="preserve">Phenylephrine at the doses</w:t>
      </w:r>
      <w:r>
        <w:t xml:space="preserve"> </w:t>
      </w:r>
      <w:r>
        <w:t xml:space="preserve">used recapitulates one arm (NOX2 / ROS, mitochondrial-STAT3) of</w:t>
      </w:r>
      <w:r>
        <w:t xml:space="preserve"> </w:t>
      </w:r>
      <w:r>
        <w:t xml:space="preserve">in-vivo pressure-overload cardiac stress; it is not a complete</w:t>
      </w:r>
      <w:r>
        <w:t xml:space="preserve"> </w:t>
      </w:r>
      <w:r>
        <w:t xml:space="preserve">model of clinical heart failure.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ferences-verified-pmids"/>
    <w:p>
      <w:pPr>
        <w:pStyle w:val="Heading1"/>
      </w:pPr>
      <w:r>
        <w:t xml:space="preserve">References (verified PMIDs)</w:t>
      </w:r>
    </w:p>
    <w:p>
      <w:pPr>
        <w:pStyle w:val="Compact"/>
        <w:numPr>
          <w:ilvl w:val="0"/>
          <w:numId w:val="1008"/>
        </w:numPr>
      </w:pPr>
      <w:r>
        <w:t xml:space="preserve">Hahn NE, Musters RJ, Fritz JM, et al. Early NADPH oxidase-2 activation</w:t>
      </w:r>
      <w:r>
        <w:t xml:space="preserve"> </w:t>
      </w:r>
      <w:r>
        <w:t xml:space="preserve">is crucial in phenylephrine-induced hypertrophy of H9c2 cells.</w:t>
      </w:r>
      <w:r>
        <w:t xml:space="preserve"> </w:t>
      </w:r>
      <w:r>
        <w:rPr>
          <w:i/>
          <w:iCs/>
        </w:rPr>
        <w:t xml:space="preserve">Cell Signal</w:t>
      </w:r>
      <w:r>
        <w:t xml:space="preserve">. 2014;26(9):1818-24. PMID 24794531.</w:t>
      </w:r>
    </w:p>
    <w:p>
      <w:pPr>
        <w:pStyle w:val="Compact"/>
        <w:numPr>
          <w:ilvl w:val="0"/>
          <w:numId w:val="1008"/>
        </w:numPr>
      </w:pPr>
      <w:r>
        <w:t xml:space="preserve">Jeong K, Kwon H, Min C, Pak Y. Modulation of the caveolin-3</w:t>
      </w:r>
      <w:r>
        <w:t xml:space="preserve"> </w:t>
      </w:r>
      <w:r>
        <w:t xml:space="preserve">localization to caveolae and STAT3 to mitochondria by catecholamine-</w:t>
      </w:r>
      <w:r>
        <w:t xml:space="preserve"> </w:t>
      </w:r>
      <w:r>
        <w:t xml:space="preserve">induced cardiac hypertrophy in H9c2 cardiomyoblasts.</w:t>
      </w:r>
      <w:r>
        <w:t xml:space="preserve"> </w:t>
      </w:r>
      <w:r>
        <w:rPr>
          <w:i/>
          <w:iCs/>
        </w:rPr>
        <w:t xml:space="preserve">Exp Mol Med</w:t>
      </w:r>
      <w:r>
        <w:t xml:space="preserve">.</w:t>
      </w:r>
      <w:r>
        <w:t xml:space="preserve"> </w:t>
      </w:r>
      <w:r>
        <w:t xml:space="preserve">2009;41(4):226-35. PMID 19299911.</w:t>
      </w:r>
    </w:p>
    <w:p>
      <w:pPr>
        <w:pStyle w:val="Compact"/>
        <w:numPr>
          <w:ilvl w:val="0"/>
          <w:numId w:val="1008"/>
        </w:numPr>
      </w:pPr>
      <w:r>
        <w:t xml:space="preserve">Masuzawa A, Black KM, Pacak CA, et al. Transplantation of autologously</w:t>
      </w:r>
      <w:r>
        <w:t xml:space="preserve"> </w:t>
      </w:r>
      <w:r>
        <w:t xml:space="preserve">derived mitochondria protects the heart from ischemia-reperfusion</w:t>
      </w:r>
      <w:r>
        <w:t xml:space="preserve"> </w:t>
      </w:r>
      <w:r>
        <w:t xml:space="preserve">injury.</w:t>
      </w:r>
      <w:r>
        <w:t xml:space="preserve"> </w:t>
      </w:r>
      <w:r>
        <w:rPr>
          <w:i/>
          <w:iCs/>
        </w:rPr>
        <w:t xml:space="preserve">Am J Physiol Heart Circ Physiol</w:t>
      </w:r>
      <w:r>
        <w:t xml:space="preserve">. 2013;304(7):H966-82.</w:t>
      </w:r>
      <w:r>
        <w:t xml:space="preserve"> </w:t>
      </w:r>
      <w:r>
        <w:t xml:space="preserve">PMID 23355340.</w:t>
      </w:r>
    </w:p>
    <w:p>
      <w:pPr>
        <w:pStyle w:val="Compact"/>
        <w:numPr>
          <w:ilvl w:val="0"/>
          <w:numId w:val="1008"/>
        </w:numPr>
      </w:pPr>
      <w:r>
        <w:t xml:space="preserve">Doulamis IP, Tzani A, Alemany VS, et al. Mitochondrial transplantation</w:t>
      </w:r>
      <w:r>
        <w:t xml:space="preserve"> </w:t>
      </w:r>
      <w:r>
        <w:t xml:space="preserve">normalizes transcriptomic and proteomic shift associated with ischemia</w:t>
      </w:r>
      <w:r>
        <w:t xml:space="preserve"> </w:t>
      </w:r>
      <w:r>
        <w:t xml:space="preserve">reperfusion injury in neonatal hearts donated after circulatory death.</w:t>
      </w:r>
      <w:r>
        <w:t xml:space="preserve"> </w:t>
      </w:r>
      <w:r>
        <w:rPr>
          <w:i/>
          <w:iCs/>
        </w:rPr>
        <w:t xml:space="preserve">Sci Rep</w:t>
      </w:r>
      <w:r>
        <w:t xml:space="preserve">. 2024;14(1):31236. PMID 39732955.</w:t>
      </w:r>
    </w:p>
    <w:p>
      <w:pPr>
        <w:pStyle w:val="Compact"/>
        <w:numPr>
          <w:ilvl w:val="0"/>
          <w:numId w:val="1008"/>
        </w:numPr>
      </w:pPr>
      <w:r>
        <w:t xml:space="preserve">Houtkooper RH, Mouchiroud L, Ryu D, et al. Mitonuclear protein</w:t>
      </w:r>
      <w:r>
        <w:t xml:space="preserve"> </w:t>
      </w:r>
      <w:r>
        <w:t xml:space="preserve">imbalance as a conserved longevity mechanism.</w:t>
      </w:r>
      <w:r>
        <w:t xml:space="preserve"> </w:t>
      </w:r>
      <w:r>
        <w:rPr>
          <w:i/>
          <w:iCs/>
        </w:rPr>
        <w:t xml:space="preserve">Nature</w:t>
      </w:r>
      <w:r>
        <w:t xml:space="preserve">. 2013;</w:t>
      </w:r>
      <w:r>
        <w:t xml:space="preserve"> </w:t>
      </w:r>
      <w:r>
        <w:t xml:space="preserve">497(7450):451-7. PMID 23698443.</w:t>
      </w:r>
    </w:p>
    <w:p>
      <w:pPr>
        <w:pStyle w:val="Compact"/>
        <w:numPr>
          <w:ilvl w:val="0"/>
          <w:numId w:val="1008"/>
        </w:numPr>
      </w:pPr>
      <w:r>
        <w:t xml:space="preserve">Rath S, Sharma R, Gupta R, et al. MitoCarta3.0: an updated</w:t>
      </w:r>
      <w:r>
        <w:t xml:space="preserve"> </w:t>
      </w:r>
      <w:r>
        <w:t xml:space="preserve">mitochondrial proteome now with sub-organelle localization and</w:t>
      </w:r>
      <w:r>
        <w:t xml:space="preserve"> </w:t>
      </w:r>
      <w:r>
        <w:t xml:space="preserve">pathway annotations.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2021;49(D1):D1541-D1547.</w:t>
      </w:r>
      <w:r>
        <w:t xml:space="preserve"> </w:t>
      </w:r>
      <w:r>
        <w:t xml:space="preserve">PMID 33174596.</w:t>
      </w:r>
    </w:p>
    <w:p>
      <w:pPr>
        <w:pStyle w:val="Compact"/>
        <w:numPr>
          <w:ilvl w:val="0"/>
          <w:numId w:val="1008"/>
        </w:numPr>
      </w:pPr>
      <w:r>
        <w:t xml:space="preserve">Xiao Y, Hsiao TH, Suresh U, et al. A novel significance score for</w:t>
      </w:r>
      <w:r>
        <w:t xml:space="preserve"> </w:t>
      </w:r>
      <w:r>
        <w:t xml:space="preserve">gene selection and ranking.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2014;30(6):801-7.</w:t>
      </w:r>
      <w:r>
        <w:t xml:space="preserve"> </w:t>
      </w:r>
      <w:r>
        <w:t xml:space="preserve">PMID 22321699.</w:t>
      </w:r>
    </w:p>
    <w:p>
      <w:pPr>
        <w:pStyle w:val="Compact"/>
        <w:numPr>
          <w:ilvl w:val="0"/>
          <w:numId w:val="1008"/>
        </w:numPr>
      </w:pPr>
      <w:r>
        <w:t xml:space="preserve">Subramanian A, Tamayo P, Mootha VK, et al. Gene set enrichment</w:t>
      </w:r>
      <w:r>
        <w:t xml:space="preserve"> </w:t>
      </w:r>
      <w:r>
        <w:t xml:space="preserve">analysis: a knowledge-based approach for interpreting genome-wide</w:t>
      </w:r>
      <w:r>
        <w:t xml:space="preserve"> </w:t>
      </w:r>
      <w:r>
        <w:t xml:space="preserve">expression profiles.</w:t>
      </w:r>
      <w:r>
        <w:t xml:space="preserve"> </w:t>
      </w:r>
      <w:r>
        <w:rPr>
          <w:i/>
          <w:iCs/>
        </w:rPr>
        <w:t xml:space="preserve">Proc Natl Acad Sci U S A</w:t>
      </w:r>
      <w:r>
        <w:t xml:space="preserve">. 2005;102(43):</w:t>
      </w:r>
      <w:r>
        <w:t xml:space="preserve"> </w:t>
      </w:r>
      <w:r>
        <w:t xml:space="preserve">15545-50. PMID 16199517.</w:t>
      </w:r>
    </w:p>
    <w:p>
      <w:pPr>
        <w:pStyle w:val="Compact"/>
        <w:numPr>
          <w:ilvl w:val="0"/>
          <w:numId w:val="1008"/>
        </w:numPr>
      </w:pPr>
      <w:r>
        <w:t xml:space="preserve">Liberzon A, Birger C, Thorvaldsdóttir H, et al. The Molecular</w:t>
      </w:r>
      <w:r>
        <w:t xml:space="preserve"> </w:t>
      </w:r>
      <w:r>
        <w:t xml:space="preserve">Signatures Database (MSigDB) hallmark gene set collection.</w:t>
      </w:r>
      <w:r>
        <w:t xml:space="preserve"> </w:t>
      </w:r>
      <w:r>
        <w:rPr>
          <w:i/>
          <w:iCs/>
        </w:rPr>
        <w:t xml:space="preserve">Cell Syst</w:t>
      </w:r>
      <w:r>
        <w:t xml:space="preserve">. 2015;1(6):417-425. PMID 26771021.</w:t>
      </w:r>
    </w:p>
    <w:p>
      <w:pPr>
        <w:pStyle w:val="Compact"/>
        <w:numPr>
          <w:ilvl w:val="0"/>
          <w:numId w:val="1008"/>
        </w:numPr>
      </w:pPr>
      <w:r>
        <w:t xml:space="preserve">Gillespie M, Jassal B, Stephan R, et al. The Reactome pathway</w:t>
      </w:r>
      <w:r>
        <w:t xml:space="preserve"> </w:t>
      </w:r>
      <w:r>
        <w:t xml:space="preserve">knowledgebase 2022.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2022;50(D1):D687-D692.</w:t>
      </w:r>
      <w:r>
        <w:t xml:space="preserve"> </w:t>
      </w:r>
      <w:r>
        <w:t xml:space="preserve">PMID 34788843.</w:t>
      </w:r>
    </w:p>
    <w:p>
      <w:pPr>
        <w:pStyle w:val="Compact"/>
        <w:numPr>
          <w:ilvl w:val="0"/>
          <w:numId w:val="1008"/>
        </w:numPr>
      </w:pPr>
      <w:r>
        <w:t xml:space="preserve">Kanehisa M. Toward understanding the origin and evolution of cellular</w:t>
      </w:r>
      <w:r>
        <w:t xml:space="preserve"> </w:t>
      </w:r>
      <w:r>
        <w:t xml:space="preserve">organisms.</w:t>
      </w:r>
      <w:r>
        <w:t xml:space="preserve"> </w:t>
      </w:r>
      <w:r>
        <w:rPr>
          <w:i/>
          <w:iCs/>
        </w:rPr>
        <w:t xml:space="preserve">Protein Sci</w:t>
      </w:r>
      <w:r>
        <w:t xml:space="preserve">. 2019;28(11):1947-1951. PMID 31441146.</w:t>
      </w:r>
    </w:p>
    <w:p>
      <w:pPr>
        <w:pStyle w:val="Compact"/>
        <w:numPr>
          <w:ilvl w:val="0"/>
          <w:numId w:val="1008"/>
        </w:numPr>
      </w:pPr>
      <w:r>
        <w:t xml:space="preserve">Merico D, Isserlin R, Stueker O, Emili A, Bader GD. Enrichment map:</w:t>
      </w:r>
      <w:r>
        <w:t xml:space="preserve"> </w:t>
      </w:r>
      <w:r>
        <w:t xml:space="preserve">a network-based method for gene-set enrichment visualization and</w:t>
      </w:r>
      <w:r>
        <w:t xml:space="preserve"> </w:t>
      </w:r>
      <w:r>
        <w:t xml:space="preserve">interpretation.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2010;5(11):e13984. PMID 21085593.</w:t>
      </w:r>
    </w:p>
    <w:p>
      <w:pPr>
        <w:pStyle w:val="Compact"/>
        <w:numPr>
          <w:ilvl w:val="0"/>
          <w:numId w:val="1008"/>
        </w:numPr>
      </w:pPr>
      <w:r>
        <w:t xml:space="preserve">Reimand J, Isserlin R, Voisin V, et al. Pathway enrichment analysis</w:t>
      </w:r>
      <w:r>
        <w:t xml:space="preserve"> </w:t>
      </w:r>
      <w:r>
        <w:t xml:space="preserve">and visualization of omics data using g:Profiler, GSEA, Cytoscape</w:t>
      </w:r>
      <w:r>
        <w:t xml:space="preserve"> </w:t>
      </w:r>
      <w:r>
        <w:t xml:space="preserve">and EnrichmentMap.</w:t>
      </w:r>
      <w:r>
        <w:t xml:space="preserve"> </w:t>
      </w:r>
      <w:r>
        <w:rPr>
          <w:i/>
          <w:iCs/>
        </w:rPr>
        <w:t xml:space="preserve">Nat Protoc</w:t>
      </w:r>
      <w:r>
        <w:t xml:space="preserve">. 2019;14(2):482-517. PMID 30664679.</w:t>
      </w:r>
    </w:p>
    <w:p>
      <w:pPr>
        <w:pStyle w:val="Compact"/>
        <w:numPr>
          <w:ilvl w:val="0"/>
          <w:numId w:val="1008"/>
        </w:numPr>
      </w:pPr>
      <w:r>
        <w:t xml:space="preserve">Ritchie ME, Phipson B, Wu D, et al. limma powers differential</w:t>
      </w:r>
      <w:r>
        <w:t xml:space="preserve"> </w:t>
      </w:r>
      <w:r>
        <w:t xml:space="preserve">expression analyses for RNA-sequencing and microarray studies.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2015;43(7):e47. PMID 25605792.</w:t>
      </w:r>
    </w:p>
    <w:p>
      <w:pPr>
        <w:pStyle w:val="Compact"/>
        <w:numPr>
          <w:ilvl w:val="0"/>
          <w:numId w:val="1008"/>
        </w:numPr>
      </w:pPr>
      <w:r>
        <w:t xml:space="preserve">Phipson B, Lee S, Majewski IJ, Alexander WS, Smyth GK. Robust</w:t>
      </w:r>
      <w:r>
        <w:t xml:space="preserve"> </w:t>
      </w:r>
      <w:r>
        <w:t xml:space="preserve">hyperparameter estimation protects against hypervariable genes</w:t>
      </w:r>
      <w:r>
        <w:t xml:space="preserve"> </w:t>
      </w:r>
      <w:r>
        <w:t xml:space="preserve">and improves power to detect differential expression.</w:t>
      </w:r>
      <w:r>
        <w:t xml:space="preserve"> </w:t>
      </w:r>
      <w:r>
        <w:rPr>
          <w:i/>
          <w:iCs/>
        </w:rPr>
        <w:t xml:space="preserve">Ann Appl</w:t>
      </w:r>
      <w:r>
        <w:rPr>
          <w:i/>
          <w:iCs/>
        </w:rPr>
        <w:t xml:space="preserve"> </w:t>
      </w:r>
      <w:r>
        <w:rPr>
          <w:i/>
          <w:iCs/>
        </w:rPr>
        <w:t xml:space="preserve">Stat</w:t>
      </w:r>
      <w:r>
        <w:t xml:space="preserve">. 2016;10(2):946-963. PMID 28367255.</w:t>
      </w:r>
    </w:p>
    <w:p>
      <w:pPr>
        <w:pStyle w:val="Compact"/>
        <w:numPr>
          <w:ilvl w:val="0"/>
          <w:numId w:val="1008"/>
        </w:numPr>
      </w:pPr>
      <w:r>
        <w:t xml:space="preserve">Wu D, Smyth GK. Camera: a competitive gene set test accounting for</w:t>
      </w:r>
      <w:r>
        <w:t xml:space="preserve"> </w:t>
      </w:r>
      <w:r>
        <w:t xml:space="preserve">inter-gene correlation.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2012;40(17):e133.</w:t>
      </w:r>
      <w:r>
        <w:t xml:space="preserve"> </w:t>
      </w:r>
      <w:r>
        <w:t xml:space="preserve">PMID 22638577.</w:t>
      </w:r>
    </w:p>
    <w:p>
      <w:pPr>
        <w:pStyle w:val="Compact"/>
        <w:numPr>
          <w:ilvl w:val="0"/>
          <w:numId w:val="1008"/>
        </w:numPr>
      </w:pPr>
      <w:r>
        <w:t xml:space="preserve">Hänzelmann S, Castelo R, Guinney J. GSVA: gene set variation</w:t>
      </w:r>
      <w:r>
        <w:t xml:space="preserve"> </w:t>
      </w:r>
      <w:r>
        <w:t xml:space="preserve">analysis for microarray and RNA-seq data.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.</w:t>
      </w:r>
      <w:r>
        <w:t xml:space="preserve"> </w:t>
      </w:r>
      <w:r>
        <w:t xml:space="preserve">2013;14:7. PMID 23323831.</w:t>
      </w:r>
    </w:p>
    <w:p>
      <w:pPr>
        <w:pStyle w:val="Compact"/>
        <w:numPr>
          <w:ilvl w:val="0"/>
          <w:numId w:val="1008"/>
        </w:numPr>
      </w:pPr>
      <w:r>
        <w:t xml:space="preserve">Foroutan M, Bhuva DD, Lyu R, Horan K, Cursons J, Davis MJ.</w:t>
      </w:r>
      <w:r>
        <w:t xml:space="preserve"> </w:t>
      </w:r>
      <w:r>
        <w:t xml:space="preserve">Single sample scoring of molecular phenotypes.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.</w:t>
      </w:r>
      <w:r>
        <w:t xml:space="preserve"> </w:t>
      </w:r>
      <w:r>
        <w:t xml:space="preserve">2018;19(1):404. PMID 30400809.</w:t>
      </w:r>
    </w:p>
    <w:p>
      <w:pPr>
        <w:pStyle w:val="Compact"/>
        <w:numPr>
          <w:ilvl w:val="0"/>
          <w:numId w:val="1008"/>
        </w:numPr>
      </w:pPr>
      <w:r>
        <w:t xml:space="preserve">Langfelder P, Horvath S. WGCNA: an R package for weighted</w:t>
      </w:r>
      <w:r>
        <w:t xml:space="preserve"> </w:t>
      </w:r>
      <w:r>
        <w:t xml:space="preserve">correlation network analysis.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. 2008;9:559.</w:t>
      </w:r>
      <w:r>
        <w:t xml:space="preserve"> </w:t>
      </w:r>
      <w:r>
        <w:t xml:space="preserve">PMID 19114008.</w:t>
      </w:r>
    </w:p>
    <w:p>
      <w:pPr>
        <w:pStyle w:val="Compact"/>
        <w:numPr>
          <w:ilvl w:val="0"/>
          <w:numId w:val="1008"/>
        </w:numPr>
      </w:pPr>
      <w:r>
        <w:t xml:space="preserve">Korotkevich G, Sukhov V, Budin N, et al. Fast gene set enrichment</w:t>
      </w:r>
      <w:r>
        <w:t xml:space="preserve"> </w:t>
      </w:r>
      <w:r>
        <w:t xml:space="preserve">analysis.</w:t>
      </w:r>
      <w:r>
        <w:t xml:space="preserve"> </w:t>
      </w:r>
      <w:r>
        <w:rPr>
          <w:i/>
          <w:iCs/>
        </w:rPr>
        <w:t xml:space="preserve">bioRxiv</w:t>
      </w:r>
      <w:r>
        <w:t xml:space="preserve">. 2021. doi:10.1101/060012.</w:t>
      </w:r>
    </w:p>
    <w:p>
      <w:pPr>
        <w:pStyle w:val="Compact"/>
        <w:numPr>
          <w:ilvl w:val="0"/>
          <w:numId w:val="1008"/>
        </w:numPr>
      </w:pPr>
      <w:r>
        <w:t xml:space="preserve">Stekhoven DJ, Bühlmann P. MissForest — non-parametric missing value</w:t>
      </w:r>
      <w:r>
        <w:t xml:space="preserve"> </w:t>
      </w:r>
      <w:r>
        <w:t xml:space="preserve">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2012;28(1):112-8.</w:t>
      </w:r>
      <w:r>
        <w:t xml:space="preserve"> </w:t>
      </w:r>
      <w:r>
        <w:t xml:space="preserve">PMID 22039212.</w:t>
      </w:r>
    </w:p>
    <w:p>
      <w:pPr>
        <w:pStyle w:val="Compact"/>
        <w:numPr>
          <w:ilvl w:val="0"/>
          <w:numId w:val="1008"/>
        </w:numPr>
      </w:pPr>
      <w:r>
        <w:t xml:space="preserve">Cahill KM, Huo Z, Tseng GC, Logan RW, Seney ML. Improved</w:t>
      </w:r>
      <w:r>
        <w:t xml:space="preserve"> </w:t>
      </w:r>
      <w:r>
        <w:t xml:space="preserve">identification of concordant and discordant gene expression</w:t>
      </w:r>
      <w:r>
        <w:t xml:space="preserve"> </w:t>
      </w:r>
      <w:r>
        <w:t xml:space="preserve">signatures using an updated rank-rank hypergeometric overlap</w:t>
      </w:r>
      <w:r>
        <w:t xml:space="preserve"> </w:t>
      </w:r>
      <w:r>
        <w:t xml:space="preserve">approach.</w:t>
      </w:r>
      <w:r>
        <w:t xml:space="preserve"> </w:t>
      </w:r>
      <w:r>
        <w:rPr>
          <w:i/>
          <w:iCs/>
        </w:rPr>
        <w:t xml:space="preserve">Sci Rep</w:t>
      </w:r>
      <w:r>
        <w:t xml:space="preserve">. 2018;8(1):9588. PMID 29942049.</w:t>
      </w:r>
    </w:p>
    <w:p>
      <w:pPr>
        <w:pStyle w:val="Compact"/>
        <w:numPr>
          <w:ilvl w:val="0"/>
          <w:numId w:val="1008"/>
        </w:numPr>
      </w:pPr>
      <w:r>
        <w:t xml:space="preserve">Anderson MJ. A new method for non-parametric multivariate analysis</w:t>
      </w:r>
      <w:r>
        <w:t xml:space="preserve"> </w:t>
      </w:r>
      <w:r>
        <w:t xml:space="preserve">of variance.</w:t>
      </w:r>
      <w:r>
        <w:t xml:space="preserve"> </w:t>
      </w:r>
      <w:r>
        <w:rPr>
          <w:i/>
          <w:iCs/>
        </w:rPr>
        <w:t xml:space="preserve">Austral Ecol</w:t>
      </w:r>
      <w:r>
        <w:t xml:space="preserve">. 2001;26(1):32-46. (PERMANOVA.)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Mitochondrial Transplant in PHE-Stressed H9c2 Cardiomyoblasts — Methods and Results</dc:title>
  <dc:creator/>
  <cp:keywords/>
  <dcterms:created xsi:type="dcterms:W3CDTF">2026-06-09T12:22:50Z</dcterms:created>
  <dcterms:modified xsi:type="dcterms:W3CDTF">2026-06-09T12:22:50Z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  <property fmtid="{D5CDD505-2E9C-101B-9397-08002B2CF9AE}" pid="3" name="subtitle">
    <vt:lpwstr>Documentation deliverable; not a manuscript draft</vt:lpwstr>
  </property>
</Properties>
</file>