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Communications Platform</w:t>
        <w:br/>
        <w:t>Product Foundation</w:t>
      </w:r>
    </w:p>
    <w:p>
      <w:pPr>
        <w:pStyle w:val="Subtitle"/>
      </w:pPr>
      <w:r>
        <w:t>PR • Corporate communications • Social media • Public affairs • Marketing • Advertising • IMC</w:t>
      </w:r>
    </w:p>
    <w:p>
      <w:pPr>
        <w:pStyle w:val="Metadata"/>
      </w:pPr>
      <w:r>
        <w:t>Prepared for: Martin Constantineau / Dutiva Canada Inc.</w:t>
      </w:r>
    </w:p>
    <w:p>
      <w:pPr>
        <w:pStyle w:val="Metadata"/>
      </w:pPr>
      <w:r>
        <w:t>Version: 0.1  |  Date: 6 September 2026  |  Status: proposed product direction</w:t>
      </w:r>
    </w:p>
    <w:p>
      <w:pPr>
        <w:pStyle w:val="Metadata"/>
      </w:pPr>
      <w:r>
        <w:t>Purpose: establish scope, shared architecture, operating controls, and phased delivery before implementation.</w:t>
      </w:r>
    </w:p>
    <w:p>
      <w:pPr>
        <w:pStyle w:val="Heading1"/>
      </w:pPr>
      <w:r>
        <w:t>1. Product decision and boundaries</w:t>
      </w:r>
    </w:p>
    <w:p>
      <w:pPr>
        <w:pStyle w:val="Callout"/>
      </w:pPr>
      <w:r>
        <w:t>Build a distinct communications workspace on shared Dutiva foundations, with separate domain permissions and an initiative-centred operating model.</w:t>
      </w:r>
    </w:p>
    <w:p>
      <w:pPr/>
      <w:r>
        <w:t>The workspace should help a small team decide what to communicate, to whom, why, through which channels, with what evidence and approvals, and how to evaluate the result. AI assists research, organization, drafting, and review; people remain accountable for relationships, judgments, statements, and external actions.</w:t>
      </w:r>
    </w:p>
    <w:p>
      <w:pPr/>
      <w:r>
        <w:t>Working assumptions: Canadian SMBs and small in-house teams first; English and Canadian French; federal, Ontario, and Québec governance contexts initially. Agency multi-client operations, political campaigning, and enterprise ad buying are later decisions. The working descriptor is not an approved product name or a change to Dutiva’s public HR positioning.</w:t>
      </w:r>
    </w:p>
    <w:p>
      <w:pPr/>
      <w:r>
        <w:t>This is a planning blueprint, not a repository audit, legal opinion, implementation, or claim that any capability already exists. Existing components must be inspected before reuse. Keep the HR launch roadmap and the new workspace roadmap separately controlled.</w:t>
      </w:r>
    </w:p>
    <w:p>
      <w:pPr>
        <w:pStyle w:val="Heading2"/>
      </w:pPr>
      <w:r>
        <w:t>The integration boundary</w:t>
      </w:r>
    </w:p>
    <w:p>
      <w:pPr/>
      <w:r>
        <w:t>Share organization identity, user authentication, platform navigation, reusable UI components, and service interfaces where appropriate. Do not automatically share HR content, contact purposes, document access, search indexes, AI memory, or permissions. One account can access two workspaces without their records becoming mutually visible.</w:t>
      </w:r>
    </w:p>
    <w:p>
      <w:pPr/>
      <w:r>
        <w:t>Integrated marketing communications (IMC; communications marketing intégrées, CMI) coordinates marketing objectives, messages, and channels. It is not the parent of every organizational activity. Public affairs, internal communications, community relations, and crisis response retain their own mandates and success criteria.</w:t>
      </w:r>
    </w:p>
    <w:p>
      <w:pPr>
        <w:pStyle w:val="Heading1"/>
      </w:pPr>
      <w:r>
        <w:t>2. Domain map</w:t>
      </w:r>
    </w:p>
    <w:p>
      <w:pPr/>
      <w:r>
        <w:t>These are capability domains, not ten independent applications or a requirement for ten top-level navigation items.</w:t>
      </w:r>
    </w:p>
    <w:tbl>
      <w:tblPr>
        <w:tblW w:type="dxa" w:w="9360"/>
        <w:tblLayout w:type="fixed"/>
        <w:tblLook w:firstColumn="1" w:firstRow="1" w:lastColumn="0" w:lastRow="0" w:noHBand="0" w:noVBand="1" w:val="04A0"/>
        <w:jc w:val="left"/>
        <w:tblBorders>
          <w:top w:val="single" w:sz="4" w:color="D9DEE5"/>
          <w:left w:val="single" w:sz="4" w:color="D9DEE5"/>
          <w:bottom w:val="single" w:sz="4" w:color="D9DEE5"/>
          <w:right w:val="single" w:sz="4" w:color="D9DEE5"/>
          <w:insideH w:val="single" w:sz="4" w:color="D9DEE5"/>
          <w:insideV w:val="single" w:sz="4" w:color="D9DEE5"/>
        </w:tblBorders>
        <w:tblInd w:type="dxa" w:w="120"/>
      </w:tblPr>
      <w:tblGrid>
        <w:gridCol w:w="2350"/>
        <w:gridCol w:w="4410"/>
        <w:gridCol w:w="2600"/>
      </w:tblGrid>
      <w:tr>
        <w:trPr>
          <w:cantSplit/>
          <w:tblHeader/>
        </w:trPr>
        <w:tc>
          <w:tcPr>
            <w:tcW w:type="dxa" w:w="2350"/>
            <w:vAlign w:val="center"/>
            <w:shd w:fill="F2F4F7"/>
            <w:tcMar>
              <w:top w:w="80" w:type="dxa"/>
              <w:bottom w:w="80" w:type="dxa"/>
              <w:start w:w="120" w:type="dxa"/>
              <w:end w:w="120" w:type="dxa"/>
            </w:tcMar>
          </w:tcPr>
          <w:p>
            <w:pPr>
              <w:pStyle w:val="TableHeader"/>
            </w:pPr>
            <w:r>
              <w:t>Domain</w:t>
            </w:r>
          </w:p>
        </w:tc>
        <w:tc>
          <w:tcPr>
            <w:tcW w:type="dxa" w:w="4410"/>
            <w:vAlign w:val="center"/>
            <w:shd w:fill="F2F4F7"/>
            <w:tcMar>
              <w:top w:w="80" w:type="dxa"/>
              <w:bottom w:w="80" w:type="dxa"/>
              <w:start w:w="120" w:type="dxa"/>
              <w:end w:w="120" w:type="dxa"/>
            </w:tcMar>
          </w:tcPr>
          <w:p>
            <w:pPr>
              <w:pStyle w:val="TableHeader"/>
            </w:pPr>
            <w:r>
              <w:t>Primary work</w:t>
            </w:r>
          </w:p>
        </w:tc>
        <w:tc>
          <w:tcPr>
            <w:tcW w:type="dxa" w:w="2600"/>
            <w:vAlign w:val="center"/>
            <w:shd w:fill="F2F4F7"/>
            <w:tcMar>
              <w:top w:w="80" w:type="dxa"/>
              <w:bottom w:w="80" w:type="dxa"/>
              <w:start w:w="120" w:type="dxa"/>
              <w:end w:w="120" w:type="dxa"/>
            </w:tcMar>
          </w:tcPr>
          <w:p>
            <w:pPr>
              <w:pStyle w:val="TableHeader"/>
            </w:pPr>
            <w:r>
              <w:t>Distinct outcome</w:t>
            </w:r>
          </w:p>
        </w:tc>
      </w:tr>
      <w:tr>
        <w:trPr>
          <w:cantSplit/>
        </w:trPr>
        <w:tc>
          <w:tcPr>
            <w:tcW w:type="dxa" w:w="2350"/>
            <w:vAlign w:val="center"/>
            <w:tcMar>
              <w:top w:w="80" w:type="dxa"/>
              <w:bottom w:w="80" w:type="dxa"/>
              <w:start w:w="120" w:type="dxa"/>
              <w:end w:w="120" w:type="dxa"/>
            </w:tcMar>
          </w:tcPr>
          <w:p>
            <w:pPr>
              <w:pStyle w:val="TableText"/>
            </w:pPr>
            <w:r>
              <w:t>Public relations</w:t>
            </w:r>
          </w:p>
        </w:tc>
        <w:tc>
          <w:tcPr>
            <w:tcW w:type="dxa" w:w="4410"/>
            <w:vAlign w:val="center"/>
            <w:tcMar>
              <w:top w:w="80" w:type="dxa"/>
              <w:bottom w:w="80" w:type="dxa"/>
              <w:start w:w="120" w:type="dxa"/>
              <w:end w:w="120" w:type="dxa"/>
            </w:tcMar>
          </w:tcPr>
          <w:p>
            <w:pPr>
              <w:pStyle w:val="TableText"/>
            </w:pPr>
            <w:r>
              <w:t>Media relationships; pitches; press materials; inquiries; spokesperson preparation; coverage</w:t>
            </w:r>
          </w:p>
        </w:tc>
        <w:tc>
          <w:tcPr>
            <w:tcW w:type="dxa" w:w="2600"/>
            <w:vAlign w:val="center"/>
            <w:tcMar>
              <w:top w:w="80" w:type="dxa"/>
              <w:bottom w:w="80" w:type="dxa"/>
              <w:start w:w="120" w:type="dxa"/>
              <w:end w:w="120" w:type="dxa"/>
            </w:tcMar>
          </w:tcPr>
          <w:p>
            <w:pPr>
              <w:pStyle w:val="TableText"/>
            </w:pPr>
            <w:r>
              <w:t>Accurate coverage, relationships, understanding</w:t>
            </w:r>
          </w:p>
        </w:tc>
      </w:tr>
      <w:tr>
        <w:trPr>
          <w:cantSplit/>
        </w:trPr>
        <w:tc>
          <w:tcPr>
            <w:tcW w:type="dxa" w:w="2350"/>
            <w:vAlign w:val="center"/>
            <w:tcMar>
              <w:top w:w="80" w:type="dxa"/>
              <w:bottom w:w="80" w:type="dxa"/>
              <w:start w:w="120" w:type="dxa"/>
              <w:end w:w="120" w:type="dxa"/>
            </w:tcMar>
          </w:tcPr>
          <w:p>
            <w:pPr>
              <w:pStyle w:val="TableText"/>
            </w:pPr>
            <w:r>
              <w:t>Corporate communications</w:t>
            </w:r>
          </w:p>
        </w:tc>
        <w:tc>
          <w:tcPr>
            <w:tcW w:type="dxa" w:w="4410"/>
            <w:vAlign w:val="center"/>
            <w:tcMar>
              <w:top w:w="80" w:type="dxa"/>
              <w:bottom w:w="80" w:type="dxa"/>
              <w:start w:w="120" w:type="dxa"/>
              <w:end w:w="120" w:type="dxa"/>
            </w:tcMar>
          </w:tcPr>
          <w:p>
            <w:pPr>
              <w:pStyle w:val="TableText"/>
            </w:pPr>
            <w:r>
              <w:t>Internal and external announcements; executive messages; change communication; employee FAQs</w:t>
            </w:r>
          </w:p>
        </w:tc>
        <w:tc>
          <w:tcPr>
            <w:tcW w:type="dxa" w:w="2600"/>
            <w:vAlign w:val="center"/>
            <w:tcMar>
              <w:top w:w="80" w:type="dxa"/>
              <w:bottom w:w="80" w:type="dxa"/>
              <w:start w:w="120" w:type="dxa"/>
              <w:end w:w="120" w:type="dxa"/>
            </w:tcMar>
          </w:tcPr>
          <w:p>
            <w:pPr>
              <w:pStyle w:val="TableText"/>
            </w:pPr>
            <w:r>
              <w:t>Understanding, alignment, trust</w:t>
            </w:r>
          </w:p>
        </w:tc>
      </w:tr>
      <w:tr>
        <w:trPr>
          <w:cantSplit/>
        </w:trPr>
        <w:tc>
          <w:tcPr>
            <w:tcW w:type="dxa" w:w="2350"/>
            <w:vAlign w:val="center"/>
            <w:tcMar>
              <w:top w:w="80" w:type="dxa"/>
              <w:bottom w:w="80" w:type="dxa"/>
              <w:start w:w="120" w:type="dxa"/>
              <w:end w:w="120" w:type="dxa"/>
            </w:tcMar>
          </w:tcPr>
          <w:p>
            <w:pPr>
              <w:pStyle w:val="TableText"/>
            </w:pPr>
            <w:r>
              <w:t>Social media management</w:t>
            </w:r>
          </w:p>
        </w:tc>
        <w:tc>
          <w:tcPr>
            <w:tcW w:type="dxa" w:w="4410"/>
            <w:vAlign w:val="center"/>
            <w:tcMar>
              <w:top w:w="80" w:type="dxa"/>
              <w:bottom w:w="80" w:type="dxa"/>
              <w:start w:w="120" w:type="dxa"/>
              <w:end w:w="120" w:type="dxa"/>
            </w:tcMar>
          </w:tcPr>
          <w:p>
            <w:pPr>
              <w:pStyle w:val="TableText"/>
            </w:pPr>
            <w:r>
              <w:t>Editorial planning; channel variants; publishing; inbox; moderation; community management; listening</w:t>
            </w:r>
          </w:p>
        </w:tc>
        <w:tc>
          <w:tcPr>
            <w:tcW w:type="dxa" w:w="2600"/>
            <w:vAlign w:val="center"/>
            <w:tcMar>
              <w:top w:w="80" w:type="dxa"/>
              <w:bottom w:w="80" w:type="dxa"/>
              <w:start w:w="120" w:type="dxa"/>
              <w:end w:w="120" w:type="dxa"/>
            </w:tcMar>
          </w:tcPr>
          <w:p>
            <w:pPr>
              <w:pStyle w:val="TableText"/>
            </w:pPr>
            <w:r>
              <w:t>Useful engagement and responsive communities</w:t>
            </w:r>
          </w:p>
        </w:tc>
      </w:tr>
      <w:tr>
        <w:trPr>
          <w:cantSplit/>
        </w:trPr>
        <w:tc>
          <w:tcPr>
            <w:tcW w:type="dxa" w:w="2350"/>
            <w:vAlign w:val="center"/>
            <w:tcMar>
              <w:top w:w="80" w:type="dxa"/>
              <w:bottom w:w="80" w:type="dxa"/>
              <w:start w:w="120" w:type="dxa"/>
              <w:end w:w="120" w:type="dxa"/>
            </w:tcMar>
          </w:tcPr>
          <w:p>
            <w:pPr>
              <w:pStyle w:val="TableText"/>
            </w:pPr>
            <w:r>
              <w:t>Public affairs</w:t>
            </w:r>
          </w:p>
        </w:tc>
        <w:tc>
          <w:tcPr>
            <w:tcW w:type="dxa" w:w="4410"/>
            <w:vAlign w:val="center"/>
            <w:tcMar>
              <w:top w:w="80" w:type="dxa"/>
              <w:bottom w:w="80" w:type="dxa"/>
              <w:start w:w="120" w:type="dxa"/>
              <w:end w:w="120" w:type="dxa"/>
            </w:tcMar>
          </w:tcPr>
          <w:p>
            <w:pPr>
              <w:pStyle w:val="TableText"/>
            </w:pPr>
            <w:r>
              <w:t>Policy files; government relations; consultations; submissions; stakeholder and coalition engagement</w:t>
            </w:r>
          </w:p>
        </w:tc>
        <w:tc>
          <w:tcPr>
            <w:tcW w:type="dxa" w:w="2600"/>
            <w:vAlign w:val="center"/>
            <w:tcMar>
              <w:top w:w="80" w:type="dxa"/>
              <w:bottom w:w="80" w:type="dxa"/>
              <w:start w:w="120" w:type="dxa"/>
              <w:end w:w="120" w:type="dxa"/>
            </w:tcMar>
          </w:tcPr>
          <w:p>
            <w:pPr>
              <w:pStyle w:val="TableText"/>
            </w:pPr>
            <w:r>
              <w:t>Informed participation and policy progress</w:t>
            </w:r>
          </w:p>
        </w:tc>
      </w:tr>
      <w:tr>
        <w:trPr>
          <w:cantSplit/>
        </w:trPr>
        <w:tc>
          <w:tcPr>
            <w:tcW w:type="dxa" w:w="2350"/>
            <w:vAlign w:val="center"/>
            <w:tcMar>
              <w:top w:w="80" w:type="dxa"/>
              <w:bottom w:w="80" w:type="dxa"/>
              <w:start w:w="120" w:type="dxa"/>
              <w:end w:w="120" w:type="dxa"/>
            </w:tcMar>
          </w:tcPr>
          <w:p>
            <w:pPr>
              <w:pStyle w:val="TableText"/>
            </w:pPr>
            <w:r>
              <w:t>Marketing</w:t>
            </w:r>
          </w:p>
        </w:tc>
        <w:tc>
          <w:tcPr>
            <w:tcW w:type="dxa" w:w="4410"/>
            <w:vAlign w:val="center"/>
            <w:tcMar>
              <w:top w:w="80" w:type="dxa"/>
              <w:bottom w:w="80" w:type="dxa"/>
              <w:start w:w="120" w:type="dxa"/>
              <w:end w:w="120" w:type="dxa"/>
            </w:tcMar>
          </w:tcPr>
          <w:p>
            <w:pPr>
              <w:pStyle w:val="TableText"/>
            </w:pPr>
            <w:r>
              <w:t>Audience research; content; email; website/search briefs; events; partnerships; lifecycle programmes</w:t>
            </w:r>
          </w:p>
        </w:tc>
        <w:tc>
          <w:tcPr>
            <w:tcW w:type="dxa" w:w="2600"/>
            <w:vAlign w:val="center"/>
            <w:tcMar>
              <w:top w:w="80" w:type="dxa"/>
              <w:bottom w:w="80" w:type="dxa"/>
              <w:start w:w="120" w:type="dxa"/>
              <w:end w:w="120" w:type="dxa"/>
            </w:tcMar>
          </w:tcPr>
          <w:p>
            <w:pPr>
              <w:pStyle w:val="TableText"/>
            </w:pPr>
            <w:r>
              <w:t>Qualified demand, participation, retention</w:t>
            </w:r>
          </w:p>
        </w:tc>
      </w:tr>
      <w:tr>
        <w:trPr>
          <w:cantSplit/>
        </w:trPr>
        <w:tc>
          <w:tcPr>
            <w:tcW w:type="dxa" w:w="2350"/>
            <w:vAlign w:val="center"/>
            <w:tcMar>
              <w:top w:w="80" w:type="dxa"/>
              <w:bottom w:w="80" w:type="dxa"/>
              <w:start w:w="120" w:type="dxa"/>
              <w:end w:w="120" w:type="dxa"/>
            </w:tcMar>
          </w:tcPr>
          <w:p>
            <w:pPr>
              <w:pStyle w:val="TableText"/>
            </w:pPr>
            <w:r>
              <w:t>Advertising</w:t>
            </w:r>
          </w:p>
        </w:tc>
        <w:tc>
          <w:tcPr>
            <w:tcW w:type="dxa" w:w="4410"/>
            <w:vAlign w:val="center"/>
            <w:tcMar>
              <w:top w:w="80" w:type="dxa"/>
              <w:bottom w:w="80" w:type="dxa"/>
              <w:start w:w="120" w:type="dxa"/>
              <w:end w:w="120" w:type="dxa"/>
            </w:tcMar>
          </w:tcPr>
          <w:p>
            <w:pPr>
              <w:pStyle w:val="TableText"/>
            </w:pPr>
            <w:r>
              <w:t>Paid media plans; creative; placements; spend approvals; claims and disclosures; performance</w:t>
            </w:r>
          </w:p>
        </w:tc>
        <w:tc>
          <w:tcPr>
            <w:tcW w:type="dxa" w:w="2600"/>
            <w:vAlign w:val="center"/>
            <w:tcMar>
              <w:top w:w="80" w:type="dxa"/>
              <w:bottom w:w="80" w:type="dxa"/>
              <w:start w:w="120" w:type="dxa"/>
              <w:end w:w="120" w:type="dxa"/>
            </w:tcMar>
          </w:tcPr>
          <w:p>
            <w:pPr>
              <w:pStyle w:val="TableText"/>
            </w:pPr>
            <w:r>
              <w:t>Efficient paid outcomes within approved limits</w:t>
            </w:r>
          </w:p>
        </w:tc>
      </w:tr>
      <w:tr>
        <w:trPr>
          <w:cantSplit/>
        </w:trPr>
        <w:tc>
          <w:tcPr>
            <w:tcW w:type="dxa" w:w="2350"/>
            <w:vAlign w:val="center"/>
            <w:tcMar>
              <w:top w:w="80" w:type="dxa"/>
              <w:bottom w:w="80" w:type="dxa"/>
              <w:start w:w="120" w:type="dxa"/>
              <w:end w:w="120" w:type="dxa"/>
            </w:tcMar>
          </w:tcPr>
          <w:p>
            <w:pPr>
              <w:pStyle w:val="TableText"/>
            </w:pPr>
            <w:r>
              <w:t>Integrated marketing communications</w:t>
            </w:r>
          </w:p>
        </w:tc>
        <w:tc>
          <w:tcPr>
            <w:tcW w:type="dxa" w:w="4410"/>
            <w:vAlign w:val="center"/>
            <w:tcMar>
              <w:top w:w="80" w:type="dxa"/>
              <w:bottom w:w="80" w:type="dxa"/>
              <w:start w:w="120" w:type="dxa"/>
              <w:end w:w="120" w:type="dxa"/>
            </w:tcMar>
          </w:tcPr>
          <w:p>
            <w:pPr>
              <w:pStyle w:val="TableText"/>
            </w:pPr>
            <w:r>
              <w:t>One campaign brief; shared messages; paid, earned, shared, and owned channel coordination</w:t>
            </w:r>
          </w:p>
        </w:tc>
        <w:tc>
          <w:tcPr>
            <w:tcW w:type="dxa" w:w="2600"/>
            <w:vAlign w:val="center"/>
            <w:tcMar>
              <w:top w:w="80" w:type="dxa"/>
              <w:bottom w:w="80" w:type="dxa"/>
              <w:start w:w="120" w:type="dxa"/>
              <w:end w:w="120" w:type="dxa"/>
            </w:tcMar>
          </w:tcPr>
          <w:p>
            <w:pPr>
              <w:pStyle w:val="TableText"/>
            </w:pPr>
            <w:r>
              <w:t>Coherent cross-channel execution</w:t>
            </w:r>
          </w:p>
        </w:tc>
      </w:tr>
    </w:tbl>
    <w:p>
      <w:pPr>
        <w:pStyle w:val="TableCitation"/>
      </w:pPr>
    </w:p>
    <w:p>
      <w:pPr/>
      <w:r>
        <w:t>Cross-cutting services: brand and reputation; research and intelligence; governance; assets; tasks; calendars; budgets; measurement. Issues and crisis management span domains rather than belonging solely to PR. Events, creator partnerships, sponsorships, and community relations can connect several domains without duplicating their records.</w:t>
      </w:r>
    </w:p>
    <w:p>
      <w:pPr>
        <w:pStyle w:val="Heading1"/>
      </w:pPr>
      <w:r>
        <w:t>3. Primary users and information architecture</w:t>
      </w:r>
    </w:p>
    <w:p>
      <w:pPr/>
      <w:r>
        <w:t>Primary user: the owner or communications lead who coordinates work across disciplines. Contributors draft and maintain relationships; reviewers validate specialist concerns; publishers control external release. One person can hold multiple roles in a small business, but actions must still record the capacity in which they were taken.</w:t>
      </w:r>
    </w:p>
    <w:tbl>
      <w:tblPr>
        <w:tblW w:type="dxa" w:w="9360"/>
        <w:tblLayout w:type="fixed"/>
        <w:tblLook w:firstColumn="1" w:firstRow="1" w:lastColumn="0" w:lastRow="0" w:noHBand="0" w:noVBand="1" w:val="04A0"/>
        <w:jc w:val="left"/>
        <w:tblBorders>
          <w:top w:val="single" w:sz="4" w:color="D9DEE5"/>
          <w:left w:val="single" w:sz="4" w:color="D9DEE5"/>
          <w:bottom w:val="single" w:sz="4" w:color="D9DEE5"/>
          <w:right w:val="single" w:sz="4" w:color="D9DEE5"/>
          <w:insideH w:val="single" w:sz="4" w:color="D9DEE5"/>
          <w:insideV w:val="single" w:sz="4" w:color="D9DEE5"/>
        </w:tblBorders>
        <w:tblInd w:type="dxa" w:w="120"/>
      </w:tblPr>
      <w:tblGrid>
        <w:gridCol w:w="4020"/>
        <w:gridCol w:w="5340"/>
      </w:tblGrid>
      <w:tr>
        <w:trPr>
          <w:cantSplit/>
          <w:tblHeader/>
        </w:trPr>
        <w:tc>
          <w:tcPr>
            <w:tcW w:type="dxa" w:w="4020"/>
            <w:vAlign w:val="center"/>
            <w:shd w:fill="F2F4F7"/>
            <w:tcMar>
              <w:top w:w="80" w:type="dxa"/>
              <w:bottom w:w="80" w:type="dxa"/>
              <w:start w:w="120" w:type="dxa"/>
              <w:end w:w="120" w:type="dxa"/>
            </w:tcMar>
          </w:tcPr>
          <w:p>
            <w:pPr>
              <w:pStyle w:val="TableHeader"/>
            </w:pPr>
            <w:r>
              <w:t>Navigation area / proposed French label</w:t>
            </w:r>
          </w:p>
        </w:tc>
        <w:tc>
          <w:tcPr>
            <w:tcW w:type="dxa" w:w="5340"/>
            <w:vAlign w:val="center"/>
            <w:shd w:fill="F2F4F7"/>
            <w:tcMar>
              <w:top w:w="80" w:type="dxa"/>
              <w:bottom w:w="80" w:type="dxa"/>
              <w:start w:w="120" w:type="dxa"/>
              <w:end w:w="120" w:type="dxa"/>
            </w:tcMar>
          </w:tcPr>
          <w:p>
            <w:pPr>
              <w:pStyle w:val="TableHeader"/>
            </w:pPr>
            <w:r>
              <w:t>Contents</w:t>
            </w:r>
          </w:p>
        </w:tc>
      </w:tr>
      <w:tr>
        <w:trPr>
          <w:cantSplit/>
        </w:trPr>
        <w:tc>
          <w:tcPr>
            <w:tcW w:type="dxa" w:w="4020"/>
            <w:vAlign w:val="center"/>
            <w:tcMar>
              <w:top w:w="80" w:type="dxa"/>
              <w:bottom w:w="80" w:type="dxa"/>
              <w:start w:w="120" w:type="dxa"/>
              <w:end w:w="120" w:type="dxa"/>
            </w:tcMar>
          </w:tcPr>
          <w:p>
            <w:pPr>
              <w:pStyle w:val="TableText"/>
            </w:pPr>
            <w:r>
              <w:t>Overview / Vue d’ensemble</w:t>
            </w:r>
          </w:p>
        </w:tc>
        <w:tc>
          <w:tcPr>
            <w:tcW w:type="dxa" w:w="5340"/>
            <w:vAlign w:val="center"/>
            <w:tcMar>
              <w:top w:w="80" w:type="dxa"/>
              <w:bottom w:w="80" w:type="dxa"/>
              <w:start w:w="120" w:type="dxa"/>
              <w:end w:w="120" w:type="dxa"/>
            </w:tcMar>
          </w:tcPr>
          <w:p>
            <w:pPr>
              <w:pStyle w:val="TableText"/>
            </w:pPr>
            <w:r>
              <w:t>My work, approaching deadlines, approvals, integration health, exceptions</w:t>
            </w:r>
          </w:p>
        </w:tc>
      </w:tr>
      <w:tr>
        <w:trPr>
          <w:cantSplit/>
        </w:trPr>
        <w:tc>
          <w:tcPr>
            <w:tcW w:type="dxa" w:w="4020"/>
            <w:vAlign w:val="center"/>
            <w:tcMar>
              <w:top w:w="80" w:type="dxa"/>
              <w:bottom w:w="80" w:type="dxa"/>
              <w:start w:w="120" w:type="dxa"/>
              <w:end w:w="120" w:type="dxa"/>
            </w:tcMar>
          </w:tcPr>
          <w:p>
            <w:pPr>
              <w:pStyle w:val="TableText"/>
            </w:pPr>
            <w:r>
              <w:t>Initiatives / Initiatives</w:t>
            </w:r>
          </w:p>
        </w:tc>
        <w:tc>
          <w:tcPr>
            <w:tcW w:type="dxa" w:w="5340"/>
            <w:vAlign w:val="center"/>
            <w:tcMar>
              <w:top w:w="80" w:type="dxa"/>
              <w:bottom w:w="80" w:type="dxa"/>
              <w:start w:w="120" w:type="dxa"/>
              <w:end w:w="120" w:type="dxa"/>
            </w:tcMar>
          </w:tcPr>
          <w:p>
            <w:pPr>
              <w:pStyle w:val="TableText"/>
            </w:pPr>
            <w:r>
              <w:t>Campaigns, programmes, announcements, policy files, events; IMC planning</w:t>
            </w:r>
          </w:p>
        </w:tc>
      </w:tr>
      <w:tr>
        <w:trPr>
          <w:cantSplit/>
        </w:trPr>
        <w:tc>
          <w:tcPr>
            <w:tcW w:type="dxa" w:w="4020"/>
            <w:vAlign w:val="center"/>
            <w:tcMar>
              <w:top w:w="80" w:type="dxa"/>
              <w:bottom w:w="80" w:type="dxa"/>
              <w:start w:w="120" w:type="dxa"/>
              <w:end w:w="120" w:type="dxa"/>
            </w:tcMar>
          </w:tcPr>
          <w:p>
            <w:pPr>
              <w:pStyle w:val="TableText"/>
            </w:pPr>
            <w:r>
              <w:t>Content &amp; calendar / Contenu et calendrier</w:t>
            </w:r>
          </w:p>
        </w:tc>
        <w:tc>
          <w:tcPr>
            <w:tcW w:type="dxa" w:w="5340"/>
            <w:vAlign w:val="center"/>
            <w:tcMar>
              <w:top w:w="80" w:type="dxa"/>
              <w:bottom w:w="80" w:type="dxa"/>
              <w:start w:w="120" w:type="dxa"/>
              <w:end w:w="120" w:type="dxa"/>
            </w:tcMar>
          </w:tcPr>
          <w:p>
            <w:pPr>
              <w:pStyle w:val="TableText"/>
            </w:pPr>
            <w:r>
              <w:t>Drafts, assets, language variants, editorial and publication views</w:t>
            </w:r>
          </w:p>
        </w:tc>
      </w:tr>
      <w:tr>
        <w:trPr>
          <w:cantSplit/>
        </w:trPr>
        <w:tc>
          <w:tcPr>
            <w:tcW w:type="dxa" w:w="4020"/>
            <w:vAlign w:val="center"/>
            <w:tcMar>
              <w:top w:w="80" w:type="dxa"/>
              <w:bottom w:w="80" w:type="dxa"/>
              <w:start w:w="120" w:type="dxa"/>
              <w:end w:w="120" w:type="dxa"/>
            </w:tcMar>
          </w:tcPr>
          <w:p>
            <w:pPr>
              <w:pStyle w:val="TableText"/>
            </w:pPr>
            <w:r>
              <w:t>Relationships / Relations</w:t>
            </w:r>
          </w:p>
        </w:tc>
        <w:tc>
          <w:tcPr>
            <w:tcW w:type="dxa" w:w="5340"/>
            <w:vAlign w:val="center"/>
            <w:tcMar>
              <w:top w:w="80" w:type="dxa"/>
              <w:bottom w:w="80" w:type="dxa"/>
              <w:start w:w="120" w:type="dxa"/>
              <w:end w:w="120" w:type="dxa"/>
            </w:tcMar>
          </w:tcPr>
          <w:p>
            <w:pPr>
              <w:pStyle w:val="TableText"/>
            </w:pPr>
            <w:r>
              <w:t>Media, institutional, partner, creator and audience records; interactions</w:t>
            </w:r>
          </w:p>
        </w:tc>
      </w:tr>
      <w:tr>
        <w:trPr>
          <w:cantSplit/>
        </w:trPr>
        <w:tc>
          <w:tcPr>
            <w:tcW w:type="dxa" w:w="4020"/>
            <w:vAlign w:val="center"/>
            <w:tcMar>
              <w:top w:w="80" w:type="dxa"/>
              <w:bottom w:w="80" w:type="dxa"/>
              <w:start w:w="120" w:type="dxa"/>
              <w:end w:w="120" w:type="dxa"/>
            </w:tcMar>
          </w:tcPr>
          <w:p>
            <w:pPr>
              <w:pStyle w:val="TableText"/>
            </w:pPr>
            <w:r>
              <w:t>Engagement / Interactions</w:t>
            </w:r>
          </w:p>
        </w:tc>
        <w:tc>
          <w:tcPr>
            <w:tcW w:type="dxa" w:w="5340"/>
            <w:vAlign w:val="center"/>
            <w:tcMar>
              <w:top w:w="80" w:type="dxa"/>
              <w:bottom w:w="80" w:type="dxa"/>
              <w:start w:w="120" w:type="dxa"/>
              <w:end w:w="120" w:type="dxa"/>
            </w:tcMar>
          </w:tcPr>
          <w:p>
            <w:pPr>
              <w:pStyle w:val="TableText"/>
            </w:pPr>
            <w:r>
              <w:t>Media inquiries, social conversations and moderation; staged rollout</w:t>
            </w:r>
          </w:p>
        </w:tc>
      </w:tr>
      <w:tr>
        <w:trPr>
          <w:cantSplit/>
        </w:trPr>
        <w:tc>
          <w:tcPr>
            <w:tcW w:type="dxa" w:w="4020"/>
            <w:vAlign w:val="center"/>
            <w:tcMar>
              <w:top w:w="80" w:type="dxa"/>
              <w:bottom w:w="80" w:type="dxa"/>
              <w:start w:w="120" w:type="dxa"/>
              <w:end w:w="120" w:type="dxa"/>
            </w:tcMar>
          </w:tcPr>
          <w:p>
            <w:pPr>
              <w:pStyle w:val="TableText"/>
            </w:pPr>
            <w:r>
              <w:t>Intelligence &amp; issues / Veille et enjeux</w:t>
            </w:r>
          </w:p>
        </w:tc>
        <w:tc>
          <w:tcPr>
            <w:tcW w:type="dxa" w:w="5340"/>
            <w:vAlign w:val="center"/>
            <w:tcMar>
              <w:top w:w="80" w:type="dxa"/>
              <w:bottom w:w="80" w:type="dxa"/>
              <w:start w:w="120" w:type="dxa"/>
              <w:end w:w="120" w:type="dxa"/>
            </w:tcMar>
          </w:tcPr>
          <w:p>
            <w:pPr>
              <w:pStyle w:val="TableText"/>
            </w:pPr>
            <w:r>
              <w:t>Source records, policy watchlists, coverage, issues and crisis files</w:t>
            </w:r>
          </w:p>
        </w:tc>
      </w:tr>
      <w:tr>
        <w:trPr>
          <w:cantSplit/>
        </w:trPr>
        <w:tc>
          <w:tcPr>
            <w:tcW w:type="dxa" w:w="4020"/>
            <w:vAlign w:val="center"/>
            <w:tcMar>
              <w:top w:w="80" w:type="dxa"/>
              <w:bottom w:w="80" w:type="dxa"/>
              <w:start w:w="120" w:type="dxa"/>
              <w:end w:w="120" w:type="dxa"/>
            </w:tcMar>
          </w:tcPr>
          <w:p>
            <w:pPr>
              <w:pStyle w:val="TableText"/>
            </w:pPr>
            <w:r>
              <w:t>Results / Résultats</w:t>
            </w:r>
          </w:p>
        </w:tc>
        <w:tc>
          <w:tcPr>
            <w:tcW w:type="dxa" w:w="5340"/>
            <w:vAlign w:val="center"/>
            <w:tcMar>
              <w:top w:w="80" w:type="dxa"/>
              <w:bottom w:w="80" w:type="dxa"/>
              <w:start w:w="120" w:type="dxa"/>
              <w:end w:w="120" w:type="dxa"/>
            </w:tcMar>
          </w:tcPr>
          <w:p>
            <w:pPr>
              <w:pStyle w:val="TableText"/>
            </w:pPr>
            <w:r>
              <w:t>Objectives, source-labelled metrics, expenditure and outcome reporting</w:t>
            </w:r>
          </w:p>
        </w:tc>
      </w:tr>
      <w:tr>
        <w:trPr>
          <w:cantSplit/>
        </w:trPr>
        <w:tc>
          <w:tcPr>
            <w:tcW w:type="dxa" w:w="4020"/>
            <w:vAlign w:val="center"/>
            <w:tcMar>
              <w:top w:w="80" w:type="dxa"/>
              <w:bottom w:w="80" w:type="dxa"/>
              <w:start w:w="120" w:type="dxa"/>
              <w:end w:w="120" w:type="dxa"/>
            </w:tcMar>
          </w:tcPr>
          <w:p>
            <w:pPr>
              <w:pStyle w:val="TableText"/>
            </w:pPr>
            <w:r>
              <w:t>Settings / Paramètres</w:t>
            </w:r>
          </w:p>
        </w:tc>
        <w:tc>
          <w:tcPr>
            <w:tcW w:type="dxa" w:w="5340"/>
            <w:vAlign w:val="center"/>
            <w:tcMar>
              <w:top w:w="80" w:type="dxa"/>
              <w:bottom w:w="80" w:type="dxa"/>
              <w:start w:w="120" w:type="dxa"/>
              <w:end w:w="120" w:type="dxa"/>
            </w:tcMar>
          </w:tcPr>
          <w:p>
            <w:pPr>
              <w:pStyle w:val="TableText"/>
            </w:pPr>
            <w:r>
              <w:t>Brand standards, roles, approvals, retention, integrations, usage controls</w:t>
            </w:r>
          </w:p>
        </w:tc>
      </w:tr>
    </w:tbl>
    <w:p>
      <w:pPr>
        <w:pStyle w:val="TableCitation"/>
      </w:pPr>
    </w:p>
    <w:p>
      <w:pPr/>
      <w:r>
        <w:t>Use contextual views such as Social, Public affairs, and Advertising inside these areas. Keep advanced domains hidden until enabled. An always-available advisor may assist with the current record; it should not replace the calendar, approval queue, or structured workspace.</w:t>
      </w:r>
    </w:p>
    <w:p>
      <w:pPr>
        <w:pStyle w:val="Heading1"/>
      </w:pPr>
      <w:r>
        <w:t>4. Shared data model</w:t>
      </w:r>
    </w:p>
    <w:p>
      <w:pPr/>
      <w:r>
        <w:t>Use Initiative as the organizing record, not Campaign as a universal parent. An initiative may be a campaign, an ongoing programme, a policy consultation, an event, or an announcement. Standalone posts, inquiries, interactions, and issues must also be valid. Link them to an initiative only when useful.</w:t>
      </w:r>
    </w:p>
    <w:tbl>
      <w:tblPr>
        <w:tblW w:type="dxa" w:w="9360"/>
        <w:tblLayout w:type="fixed"/>
        <w:tblLook w:firstColumn="1" w:firstRow="1" w:lastColumn="0" w:lastRow="0" w:noHBand="0" w:noVBand="1" w:val="04A0"/>
        <w:jc w:val="left"/>
        <w:tblBorders>
          <w:top w:val="single" w:sz="4" w:color="D9DEE5"/>
          <w:left w:val="single" w:sz="4" w:color="D9DEE5"/>
          <w:bottom w:val="single" w:sz="4" w:color="D9DEE5"/>
          <w:right w:val="single" w:sz="4" w:color="D9DEE5"/>
          <w:insideH w:val="single" w:sz="4" w:color="D9DEE5"/>
          <w:insideV w:val="single" w:sz="4" w:color="D9DEE5"/>
        </w:tblBorders>
        <w:tblInd w:type="dxa" w:w="120"/>
      </w:tblPr>
      <w:tblGrid>
        <w:gridCol w:w="3140"/>
        <w:gridCol w:w="6220"/>
      </w:tblGrid>
      <w:tr>
        <w:trPr>
          <w:cantSplit/>
          <w:tblHeader/>
        </w:trPr>
        <w:tc>
          <w:tcPr>
            <w:tcW w:type="dxa" w:w="3140"/>
            <w:vAlign w:val="center"/>
            <w:shd w:fill="F2F4F7"/>
            <w:tcMar>
              <w:top w:w="80" w:type="dxa"/>
              <w:bottom w:w="80" w:type="dxa"/>
              <w:start w:w="120" w:type="dxa"/>
              <w:end w:w="120" w:type="dxa"/>
            </w:tcMar>
          </w:tcPr>
          <w:p>
            <w:pPr>
              <w:pStyle w:val="TableHeader"/>
            </w:pPr>
            <w:r>
              <w:t>Record group</w:t>
            </w:r>
          </w:p>
        </w:tc>
        <w:tc>
          <w:tcPr>
            <w:tcW w:type="dxa" w:w="6220"/>
            <w:vAlign w:val="center"/>
            <w:shd w:fill="F2F4F7"/>
            <w:tcMar>
              <w:top w:w="80" w:type="dxa"/>
              <w:bottom w:w="80" w:type="dxa"/>
              <w:start w:w="120" w:type="dxa"/>
              <w:end w:w="120" w:type="dxa"/>
            </w:tcMar>
          </w:tcPr>
          <w:p>
            <w:pPr>
              <w:pStyle w:val="TableHeader"/>
            </w:pPr>
            <w:r>
              <w:t>Essential fields or relationships</w:t>
            </w:r>
          </w:p>
        </w:tc>
      </w:tr>
      <w:tr>
        <w:trPr>
          <w:cantSplit/>
        </w:trPr>
        <w:tc>
          <w:tcPr>
            <w:tcW w:type="dxa" w:w="3140"/>
            <w:vAlign w:val="center"/>
            <w:tcMar>
              <w:top w:w="80" w:type="dxa"/>
              <w:bottom w:w="80" w:type="dxa"/>
              <w:start w:w="120" w:type="dxa"/>
              <w:end w:w="120" w:type="dxa"/>
            </w:tcMar>
          </w:tcPr>
          <w:p>
            <w:pPr>
              <w:pStyle w:val="TableText"/>
            </w:pPr>
            <w:r>
              <w:t>Organization, workspace, membership</w:t>
            </w:r>
          </w:p>
        </w:tc>
        <w:tc>
          <w:tcPr>
            <w:tcW w:type="dxa" w:w="6220"/>
            <w:vAlign w:val="center"/>
            <w:tcMar>
              <w:top w:w="80" w:type="dxa"/>
              <w:bottom w:w="80" w:type="dxa"/>
              <w:start w:w="120" w:type="dxa"/>
              <w:end w:w="120" w:type="dxa"/>
            </w:tcMar>
          </w:tcPr>
          <w:p>
            <w:pPr>
              <w:pStyle w:val="TableText"/>
            </w:pPr>
            <w:r>
              <w:t>Tenant ID; workspace ID; role/capability grants; access scope; expiry</w:t>
            </w:r>
          </w:p>
        </w:tc>
      </w:tr>
      <w:tr>
        <w:trPr>
          <w:cantSplit/>
        </w:trPr>
        <w:tc>
          <w:tcPr>
            <w:tcW w:type="dxa" w:w="3140"/>
            <w:vAlign w:val="center"/>
            <w:tcMar>
              <w:top w:w="80" w:type="dxa"/>
              <w:bottom w:w="80" w:type="dxa"/>
              <w:start w:w="120" w:type="dxa"/>
              <w:end w:w="120" w:type="dxa"/>
            </w:tcMar>
          </w:tcPr>
          <w:p>
            <w:pPr>
              <w:pStyle w:val="TableText"/>
            </w:pPr>
            <w:r>
              <w:t>Brand profile, message, claim</w:t>
            </w:r>
          </w:p>
        </w:tc>
        <w:tc>
          <w:tcPr>
            <w:tcW w:type="dxa" w:w="6220"/>
            <w:vAlign w:val="center"/>
            <w:tcMar>
              <w:top w:w="80" w:type="dxa"/>
              <w:bottom w:w="80" w:type="dxa"/>
              <w:start w:w="120" w:type="dxa"/>
              <w:end w:w="120" w:type="dxa"/>
            </w:tcMar>
          </w:tcPr>
          <w:p>
            <w:pPr>
              <w:pStyle w:val="TableText"/>
            </w:pPr>
            <w:r>
              <w:t>Voice and terminology; approved wording; evidence; owner; review/expiry date</w:t>
            </w:r>
          </w:p>
        </w:tc>
      </w:tr>
      <w:tr>
        <w:trPr>
          <w:cantSplit/>
        </w:trPr>
        <w:tc>
          <w:tcPr>
            <w:tcW w:type="dxa" w:w="3140"/>
            <w:vAlign w:val="center"/>
            <w:tcMar>
              <w:top w:w="80" w:type="dxa"/>
              <w:bottom w:w="80" w:type="dxa"/>
              <w:start w:w="120" w:type="dxa"/>
              <w:end w:w="120" w:type="dxa"/>
            </w:tcMar>
          </w:tcPr>
          <w:p>
            <w:pPr>
              <w:pStyle w:val="TableText"/>
            </w:pPr>
            <w:r>
              <w:t>Initiative and objective</w:t>
            </w:r>
          </w:p>
        </w:tc>
        <w:tc>
          <w:tcPr>
            <w:tcW w:type="dxa" w:w="6220"/>
            <w:vAlign w:val="center"/>
            <w:tcMar>
              <w:top w:w="80" w:type="dxa"/>
              <w:bottom w:w="80" w:type="dxa"/>
              <w:start w:w="120" w:type="dxa"/>
              <w:end w:w="120" w:type="dxa"/>
            </w:tcMar>
          </w:tcPr>
          <w:p>
            <w:pPr>
              <w:pStyle w:val="TableText"/>
            </w:pPr>
            <w:r>
              <w:t>Type; owner; audience; intended outcome; baseline/target; dates; risk; budget</w:t>
            </w:r>
          </w:p>
        </w:tc>
      </w:tr>
      <w:tr>
        <w:trPr>
          <w:cantSplit/>
        </w:trPr>
        <w:tc>
          <w:tcPr>
            <w:tcW w:type="dxa" w:w="3140"/>
            <w:vAlign w:val="center"/>
            <w:tcMar>
              <w:top w:w="80" w:type="dxa"/>
              <w:bottom w:w="80" w:type="dxa"/>
              <w:start w:w="120" w:type="dxa"/>
              <w:end w:w="120" w:type="dxa"/>
            </w:tcMar>
          </w:tcPr>
          <w:p>
            <w:pPr>
              <w:pStyle w:val="TableText"/>
            </w:pPr>
            <w:r>
              <w:t>Audience, contact, organization, interaction</w:t>
            </w:r>
          </w:p>
        </w:tc>
        <w:tc>
          <w:tcPr>
            <w:tcW w:type="dxa" w:w="6220"/>
            <w:vAlign w:val="center"/>
            <w:tcMar>
              <w:top w:w="80" w:type="dxa"/>
              <w:bottom w:w="80" w:type="dxa"/>
              <w:start w:w="120" w:type="dxa"/>
              <w:end w:w="120" w:type="dxa"/>
            </w:tcMar>
          </w:tcPr>
          <w:p>
            <w:pPr>
              <w:pStyle w:val="TableText"/>
            </w:pPr>
            <w:r>
              <w:t>Purpose; source; role/affiliation dates; communication preference; relationship history</w:t>
            </w:r>
          </w:p>
        </w:tc>
      </w:tr>
      <w:tr>
        <w:trPr>
          <w:cantSplit/>
        </w:trPr>
        <w:tc>
          <w:tcPr>
            <w:tcW w:type="dxa" w:w="3140"/>
            <w:vAlign w:val="center"/>
            <w:tcMar>
              <w:top w:w="80" w:type="dxa"/>
              <w:bottom w:w="80" w:type="dxa"/>
              <w:start w:w="120" w:type="dxa"/>
              <w:end w:w="120" w:type="dxa"/>
            </w:tcMar>
          </w:tcPr>
          <w:p>
            <w:pPr>
              <w:pStyle w:val="TableText"/>
            </w:pPr>
            <w:r>
              <w:t>Consent and suppression records</w:t>
            </w:r>
          </w:p>
        </w:tc>
        <w:tc>
          <w:tcPr>
            <w:tcW w:type="dxa" w:w="6220"/>
            <w:vAlign w:val="center"/>
            <w:tcMar>
              <w:top w:w="80" w:type="dxa"/>
              <w:bottom w:w="80" w:type="dxa"/>
              <w:start w:w="120" w:type="dxa"/>
              <w:end w:w="120" w:type="dxa"/>
            </w:tcMar>
          </w:tcPr>
          <w:p>
            <w:pPr>
              <w:pStyle w:val="TableText"/>
            </w:pPr>
            <w:r>
              <w:t>Purpose, channel, evidence, scope, captured/withdrawn dates; reviewed exceptions</w:t>
            </w:r>
          </w:p>
        </w:tc>
      </w:tr>
      <w:tr>
        <w:trPr>
          <w:cantSplit/>
        </w:trPr>
        <w:tc>
          <w:tcPr>
            <w:tcW w:type="dxa" w:w="3140"/>
            <w:vAlign w:val="center"/>
            <w:tcMar>
              <w:top w:w="80" w:type="dxa"/>
              <w:bottom w:w="80" w:type="dxa"/>
              <w:start w:w="120" w:type="dxa"/>
              <w:end w:w="120" w:type="dxa"/>
            </w:tcMar>
          </w:tcPr>
          <w:p>
            <w:pPr>
              <w:pStyle w:val="TableText"/>
            </w:pPr>
            <w:r>
              <w:t>Content item, variant, revision, asset</w:t>
            </w:r>
          </w:p>
        </w:tc>
        <w:tc>
          <w:tcPr>
            <w:tcW w:type="dxa" w:w="6220"/>
            <w:vAlign w:val="center"/>
            <w:tcMar>
              <w:top w:w="80" w:type="dxa"/>
              <w:bottom w:w="80" w:type="dxa"/>
              <w:start w:w="120" w:type="dxa"/>
              <w:end w:w="120" w:type="dxa"/>
            </w:tcMar>
          </w:tcPr>
          <w:p>
            <w:pPr>
              <w:pStyle w:val="TableText"/>
            </w:pPr>
            <w:r>
              <w:t>Language; channel; immutable revision; source revision; rights, alt text, expiry</w:t>
            </w:r>
          </w:p>
        </w:tc>
      </w:tr>
      <w:tr>
        <w:trPr>
          <w:cantSplit/>
        </w:trPr>
        <w:tc>
          <w:tcPr>
            <w:tcW w:type="dxa" w:w="3140"/>
            <w:vAlign w:val="center"/>
            <w:tcMar>
              <w:top w:w="80" w:type="dxa"/>
              <w:bottom w:w="80" w:type="dxa"/>
              <w:start w:w="120" w:type="dxa"/>
              <w:end w:w="120" w:type="dxa"/>
            </w:tcMar>
          </w:tcPr>
          <w:p>
            <w:pPr>
              <w:pStyle w:val="TableText"/>
            </w:pPr>
            <w:r>
              <w:t>Approval request and decision</w:t>
            </w:r>
          </w:p>
        </w:tc>
        <w:tc>
          <w:tcPr>
            <w:tcW w:type="dxa" w:w="6220"/>
            <w:vAlign w:val="center"/>
            <w:tcMar>
              <w:top w:w="80" w:type="dxa"/>
              <w:bottom w:w="80" w:type="dxa"/>
              <w:start w:w="120" w:type="dxa"/>
              <w:end w:w="120" w:type="dxa"/>
            </w:tcMar>
          </w:tcPr>
          <w:p>
            <w:pPr>
              <w:pStyle w:val="TableText"/>
            </w:pPr>
            <w:r>
              <w:t>Exact revision and assets; locale; channel; approver; policy version; decision; time</w:t>
            </w:r>
          </w:p>
        </w:tc>
      </w:tr>
      <w:tr>
        <w:trPr>
          <w:cantSplit/>
        </w:trPr>
        <w:tc>
          <w:tcPr>
            <w:tcW w:type="dxa" w:w="3140"/>
            <w:vAlign w:val="center"/>
            <w:tcMar>
              <w:top w:w="80" w:type="dxa"/>
              <w:bottom w:w="80" w:type="dxa"/>
              <w:start w:w="120" w:type="dxa"/>
              <w:end w:w="120" w:type="dxa"/>
            </w:tcMar>
          </w:tcPr>
          <w:p>
            <w:pPr>
              <w:pStyle w:val="TableText"/>
            </w:pPr>
            <w:r>
              <w:t>Publication job and receipt</w:t>
            </w:r>
          </w:p>
        </w:tc>
        <w:tc>
          <w:tcPr>
            <w:tcW w:type="dxa" w:w="6220"/>
            <w:vAlign w:val="center"/>
            <w:tcMar>
              <w:top w:w="80" w:type="dxa"/>
              <w:bottom w:w="80" w:type="dxa"/>
              <w:start w:w="120" w:type="dxa"/>
              <w:end w:w="120" w:type="dxa"/>
            </w:tcMar>
          </w:tcPr>
          <w:p>
            <w:pPr>
              <w:pStyle w:val="TableText"/>
            </w:pPr>
            <w:r>
              <w:t>Destination; revision; due time; time zone; idempotency key; provider ID; result</w:t>
            </w:r>
          </w:p>
        </w:tc>
      </w:tr>
      <w:tr>
        <w:trPr>
          <w:cantSplit/>
        </w:trPr>
        <w:tc>
          <w:tcPr>
            <w:tcW w:type="dxa" w:w="3140"/>
            <w:vAlign w:val="center"/>
            <w:tcMar>
              <w:top w:w="80" w:type="dxa"/>
              <w:bottom w:w="80" w:type="dxa"/>
              <w:start w:w="120" w:type="dxa"/>
              <w:end w:w="120" w:type="dxa"/>
            </w:tcMar>
          </w:tcPr>
          <w:p>
            <w:pPr>
              <w:pStyle w:val="TableText"/>
            </w:pPr>
            <w:r>
              <w:t>Inquiry, conversation, moderation action</w:t>
            </w:r>
          </w:p>
        </w:tc>
        <w:tc>
          <w:tcPr>
            <w:tcW w:type="dxa" w:w="6220"/>
            <w:vAlign w:val="center"/>
            <w:tcMar>
              <w:top w:w="80" w:type="dxa"/>
              <w:bottom w:w="80" w:type="dxa"/>
              <w:start w:w="120" w:type="dxa"/>
              <w:end w:w="120" w:type="dxa"/>
            </w:tcMar>
          </w:tcPr>
          <w:p>
            <w:pPr>
              <w:pStyle w:val="TableText"/>
            </w:pPr>
            <w:r>
              <w:t>Source; owner; visibility; response target; escalation; decision and rationale</w:t>
            </w:r>
          </w:p>
        </w:tc>
      </w:tr>
      <w:tr>
        <w:trPr>
          <w:cantSplit/>
        </w:trPr>
        <w:tc>
          <w:tcPr>
            <w:tcW w:type="dxa" w:w="3140"/>
            <w:vAlign w:val="center"/>
            <w:tcMar>
              <w:top w:w="80" w:type="dxa"/>
              <w:bottom w:w="80" w:type="dxa"/>
              <w:start w:w="120" w:type="dxa"/>
              <w:end w:w="120" w:type="dxa"/>
            </w:tcMar>
          </w:tcPr>
          <w:p>
            <w:pPr>
              <w:pStyle w:val="TableText"/>
            </w:pPr>
            <w:r>
              <w:t>Policy file, engagement, filing record</w:t>
            </w:r>
          </w:p>
        </w:tc>
        <w:tc>
          <w:tcPr>
            <w:tcW w:type="dxa" w:w="6220"/>
            <w:vAlign w:val="center"/>
            <w:tcMar>
              <w:top w:w="80" w:type="dxa"/>
              <w:bottom w:w="80" w:type="dxa"/>
              <w:start w:w="120" w:type="dxa"/>
              <w:end w:w="120" w:type="dxa"/>
            </w:tcMar>
          </w:tcPr>
          <w:p>
            <w:pPr>
              <w:pStyle w:val="TableText"/>
            </w:pPr>
            <w:r>
              <w:t>Jurisdiction; authority; objective; participants; activity/time; review and filing evidence</w:t>
            </w:r>
          </w:p>
        </w:tc>
      </w:tr>
      <w:tr>
        <w:trPr>
          <w:cantSplit/>
        </w:trPr>
        <w:tc>
          <w:tcPr>
            <w:tcW w:type="dxa" w:w="3140"/>
            <w:vAlign w:val="center"/>
            <w:tcMar>
              <w:top w:w="80" w:type="dxa"/>
              <w:bottom w:w="80" w:type="dxa"/>
              <w:start w:w="120" w:type="dxa"/>
              <w:end w:w="120" w:type="dxa"/>
            </w:tcMar>
          </w:tcPr>
          <w:p>
            <w:pPr>
              <w:pStyle w:val="TableText"/>
            </w:pPr>
            <w:r>
              <w:t>Source, mention, issue, evidence</w:t>
            </w:r>
          </w:p>
        </w:tc>
        <w:tc>
          <w:tcPr>
            <w:tcW w:type="dxa" w:w="6220"/>
            <w:vAlign w:val="center"/>
            <w:tcMar>
              <w:top w:w="80" w:type="dxa"/>
              <w:bottom w:w="80" w:type="dxa"/>
              <w:start w:w="120" w:type="dxa"/>
              <w:end w:w="120" w:type="dxa"/>
            </w:tcMar>
          </w:tcPr>
          <w:p>
            <w:pPr>
              <w:pStyle w:val="TableText"/>
            </w:pPr>
            <w:r>
              <w:t>URL; author/publisher; date; retrieved time; rights; classification; source support</w:t>
            </w:r>
          </w:p>
        </w:tc>
      </w:tr>
      <w:tr>
        <w:trPr>
          <w:cantSplit/>
        </w:trPr>
        <w:tc>
          <w:tcPr>
            <w:tcW w:type="dxa" w:w="3140"/>
            <w:vAlign w:val="center"/>
            <w:tcMar>
              <w:top w:w="80" w:type="dxa"/>
              <w:bottom w:w="80" w:type="dxa"/>
              <w:start w:w="120" w:type="dxa"/>
              <w:end w:w="120" w:type="dxa"/>
            </w:tcMar>
          </w:tcPr>
          <w:p>
            <w:pPr>
              <w:pStyle w:val="TableText"/>
            </w:pPr>
            <w:r>
              <w:t>Budget, cost and measurement</w:t>
            </w:r>
          </w:p>
        </w:tc>
        <w:tc>
          <w:tcPr>
            <w:tcW w:type="dxa" w:w="6220"/>
            <w:vAlign w:val="center"/>
            <w:tcMar>
              <w:top w:w="80" w:type="dxa"/>
              <w:bottom w:w="80" w:type="dxa"/>
              <w:start w:w="120" w:type="dxa"/>
              <w:end w:w="120" w:type="dxa"/>
            </w:tcMar>
          </w:tcPr>
          <w:p>
            <w:pPr>
              <w:pStyle w:val="TableText"/>
            </w:pPr>
            <w:r>
              <w:t>Currency; approved/committed/actual spend; metric definition; period; provenance</w:t>
            </w:r>
          </w:p>
        </w:tc>
      </w:tr>
    </w:tbl>
    <w:p>
      <w:pPr>
        <w:pStyle w:val="TableCitation"/>
      </w:pPr>
    </w:p>
    <w:p>
      <w:pPr>
        <w:pStyle w:val="Heading2"/>
      </w:pPr>
      <w:r>
        <w:t>Data rules</w:t>
      </w:r>
    </w:p>
    <w:p>
      <w:pPr>
        <w:pStyle w:val="BlueprintBullet"/>
      </w:pPr>
      <w:r>
        <w:t>Tenant and workspace boundaries apply to every object, attachment, export, search result, background job, and AI retrieval. Parent-child links must not allow cross-tenant references.</w:t>
      </w:r>
    </w:p>
    <w:p>
      <w:pPr>
        <w:pStyle w:val="BlueprintBullet"/>
      </w:pPr>
      <w:r>
        <w:t>Separate a person from their role at an organization. A journalist changing outlets or an official changing office should not corrupt historical interactions.</w:t>
      </w:r>
    </w:p>
    <w:p>
      <w:pPr>
        <w:pStyle w:val="BlueprintBullet"/>
      </w:pPr>
      <w:r>
        <w:t>Do not use one “consented” checkbox. Store purpose- and channel-specific evidence, withdrawal and suppression. A relationship record does not establish permission for every use.</w:t>
      </w:r>
    </w:p>
    <w:p>
      <w:pPr>
        <w:pStyle w:val="BlueprintBullet"/>
      </w:pPr>
      <w:r>
        <w:t>Track English and French as linked, separately reviewable variants. A source-language edit marks related translations for review; it must not silently rewrite an approved French version.</w:t>
      </w:r>
    </w:p>
    <w:p>
      <w:pPr>
        <w:pStyle w:val="BlueprintBullet"/>
      </w:pPr>
      <w:r>
        <w:t>Store factual observations separately from allegations, interpretations, opinions, and AI suggestions. Keep sources, timestamps and reviewer decisions; avoid treating sentiment as established fact.</w:t>
      </w:r>
    </w:p>
    <w:p>
      <w:pPr>
        <w:pStyle w:val="Heading1"/>
      </w:pPr>
      <w:r>
        <w:t>5. Workflows and release controls</w:t>
      </w:r>
    </w:p>
    <w:p>
      <w:pPr>
        <w:pStyle w:val="Heading2"/>
      </w:pPr>
      <w:r>
        <w:t>Integrated campaign workflow</w:t>
      </w:r>
    </w:p>
    <w:p>
      <w:pPr/>
      <w:r>
        <w:t>Research the audience and context; define the objective; approve the brief and key messages; plan channel activities; draft language/channel variants; validate evidence and rights; review; approve; release; record results; evaluate and retain the record. Each step has an owner, and dependencies are visible in the same initiative.</w:t>
      </w:r>
    </w:p>
    <w:p>
      <w:pPr/>
      <w:r>
        <w:t>Keep content approval state separate from delivery state. An approved item is not necessarily scheduled, and a successfully uploaded item is not necessarily publicly available.</w:t>
      </w:r>
    </w:p>
    <w:tbl>
      <w:tblPr>
        <w:tblW w:type="dxa" w:w="9360"/>
        <w:tblLayout w:type="fixed"/>
        <w:tblLook w:firstColumn="1" w:firstRow="1" w:lastColumn="0" w:lastRow="0" w:noHBand="0" w:noVBand="1" w:val="04A0"/>
        <w:jc w:val="left"/>
        <w:tblBorders>
          <w:top w:val="single" w:sz="4" w:color="D9DEE5"/>
          <w:left w:val="single" w:sz="4" w:color="D9DEE5"/>
          <w:bottom w:val="single" w:sz="4" w:color="D9DEE5"/>
          <w:right w:val="single" w:sz="4" w:color="D9DEE5"/>
          <w:insideH w:val="single" w:sz="4" w:color="D9DEE5"/>
          <w:insideV w:val="single" w:sz="4" w:color="D9DEE5"/>
        </w:tblBorders>
        <w:tblInd w:type="dxa" w:w="120"/>
      </w:tblPr>
      <w:tblGrid>
        <w:gridCol w:w="4680"/>
        <w:gridCol w:w="4680"/>
      </w:tblGrid>
      <w:tr>
        <w:trPr>
          <w:cantSplit/>
          <w:tblHeader/>
        </w:trPr>
        <w:tc>
          <w:tcPr>
            <w:tcW w:type="dxa" w:w="4680"/>
            <w:vAlign w:val="center"/>
            <w:shd w:fill="F2F4F7"/>
            <w:tcMar>
              <w:top w:w="80" w:type="dxa"/>
              <w:bottom w:w="80" w:type="dxa"/>
              <w:start w:w="120" w:type="dxa"/>
              <w:end w:w="120" w:type="dxa"/>
            </w:tcMar>
          </w:tcPr>
          <w:p>
            <w:pPr>
              <w:pStyle w:val="TableHeader"/>
            </w:pPr>
            <w:r>
              <w:t>Content review state</w:t>
            </w:r>
          </w:p>
        </w:tc>
        <w:tc>
          <w:tcPr>
            <w:tcW w:type="dxa" w:w="4680"/>
            <w:vAlign w:val="center"/>
            <w:shd w:fill="F2F4F7"/>
            <w:tcMar>
              <w:top w:w="80" w:type="dxa"/>
              <w:bottom w:w="80" w:type="dxa"/>
              <w:start w:w="120" w:type="dxa"/>
              <w:end w:w="120" w:type="dxa"/>
            </w:tcMar>
          </w:tcPr>
          <w:p>
            <w:pPr>
              <w:pStyle w:val="TableHeader"/>
            </w:pPr>
            <w:r>
              <w:t>Delivery state</w:t>
            </w:r>
          </w:p>
        </w:tc>
      </w:tr>
      <w:tr>
        <w:trPr>
          <w:cantSplit/>
        </w:trPr>
        <w:tc>
          <w:tcPr>
            <w:tcW w:type="dxa" w:w="4680"/>
            <w:vAlign w:val="center"/>
            <w:tcMar>
              <w:top w:w="80" w:type="dxa"/>
              <w:bottom w:w="80" w:type="dxa"/>
              <w:start w:w="120" w:type="dxa"/>
              <w:end w:w="120" w:type="dxa"/>
            </w:tcMar>
          </w:tcPr>
          <w:p>
            <w:pPr>
              <w:pStyle w:val="TableText"/>
            </w:pPr>
            <w:r>
              <w:t>Draft; in review; changes requested</w:t>
            </w:r>
          </w:p>
        </w:tc>
        <w:tc>
          <w:tcPr>
            <w:tcW w:type="dxa" w:w="4680"/>
            <w:vAlign w:val="center"/>
            <w:tcMar>
              <w:top w:w="80" w:type="dxa"/>
              <w:bottom w:w="80" w:type="dxa"/>
              <w:start w:w="120" w:type="dxa"/>
              <w:end w:w="120" w:type="dxa"/>
            </w:tcMar>
          </w:tcPr>
          <w:p>
            <w:pPr>
              <w:pStyle w:val="TableText"/>
            </w:pPr>
            <w:r>
              <w:t>Not queued</w:t>
            </w:r>
          </w:p>
        </w:tc>
      </w:tr>
      <w:tr>
        <w:trPr>
          <w:cantSplit/>
        </w:trPr>
        <w:tc>
          <w:tcPr>
            <w:tcW w:type="dxa" w:w="4680"/>
            <w:vAlign w:val="center"/>
            <w:tcMar>
              <w:top w:w="80" w:type="dxa"/>
              <w:bottom w:w="80" w:type="dxa"/>
              <w:start w:w="120" w:type="dxa"/>
              <w:end w:w="120" w:type="dxa"/>
            </w:tcMar>
          </w:tcPr>
          <w:p>
            <w:pPr>
              <w:pStyle w:val="TableText"/>
            </w:pPr>
            <w:r>
              <w:t>Approved for an exact revision and scope</w:t>
            </w:r>
          </w:p>
        </w:tc>
        <w:tc>
          <w:tcPr>
            <w:tcW w:type="dxa" w:w="4680"/>
            <w:vAlign w:val="center"/>
            <w:tcMar>
              <w:top w:w="80" w:type="dxa"/>
              <w:bottom w:w="80" w:type="dxa"/>
              <w:start w:w="120" w:type="dxa"/>
              <w:end w:w="120" w:type="dxa"/>
            </w:tcMar>
          </w:tcPr>
          <w:p>
            <w:pPr>
              <w:pStyle w:val="TableText"/>
            </w:pPr>
            <w:r>
              <w:t>Ready; scheduled; paused</w:t>
            </w:r>
          </w:p>
        </w:tc>
      </w:tr>
      <w:tr>
        <w:trPr>
          <w:cantSplit/>
        </w:trPr>
        <w:tc>
          <w:tcPr>
            <w:tcW w:type="dxa" w:w="4680"/>
            <w:vAlign w:val="center"/>
            <w:tcMar>
              <w:top w:w="80" w:type="dxa"/>
              <w:bottom w:w="80" w:type="dxa"/>
              <w:start w:w="120" w:type="dxa"/>
              <w:end w:w="120" w:type="dxa"/>
            </w:tcMar>
          </w:tcPr>
          <w:p>
            <w:pPr>
              <w:pStyle w:val="TableText"/>
            </w:pPr>
            <w:r>
              <w:t>Approval still valid at execution</w:t>
            </w:r>
          </w:p>
        </w:tc>
        <w:tc>
          <w:tcPr>
            <w:tcW w:type="dxa" w:w="4680"/>
            <w:vAlign w:val="center"/>
            <w:tcMar>
              <w:top w:w="80" w:type="dxa"/>
              <w:bottom w:w="80" w:type="dxa"/>
              <w:start w:w="120" w:type="dxa"/>
              <w:end w:w="120" w:type="dxa"/>
            </w:tcMar>
          </w:tcPr>
          <w:p>
            <w:pPr>
              <w:pStyle w:val="TableText"/>
            </w:pPr>
            <w:r>
              <w:t>Sending; confirmed; failed; outcome unknown</w:t>
            </w:r>
          </w:p>
        </w:tc>
      </w:tr>
      <w:tr>
        <w:trPr>
          <w:cantSplit/>
        </w:trPr>
        <w:tc>
          <w:tcPr>
            <w:tcW w:type="dxa" w:w="4680"/>
            <w:vAlign w:val="center"/>
            <w:tcMar>
              <w:top w:w="80" w:type="dxa"/>
              <w:bottom w:w="80" w:type="dxa"/>
              <w:start w:w="120" w:type="dxa"/>
              <w:end w:w="120" w:type="dxa"/>
            </w:tcMar>
          </w:tcPr>
          <w:p>
            <w:pPr>
              <w:pStyle w:val="TableText"/>
            </w:pPr>
            <w:r>
              <w:t>Superseded or withdrawn</w:t>
            </w:r>
          </w:p>
        </w:tc>
        <w:tc>
          <w:tcPr>
            <w:tcW w:type="dxa" w:w="4680"/>
            <w:vAlign w:val="center"/>
            <w:tcMar>
              <w:top w:w="80" w:type="dxa"/>
              <w:bottom w:w="80" w:type="dxa"/>
              <w:start w:w="120" w:type="dxa"/>
              <w:end w:w="120" w:type="dxa"/>
            </w:tcMar>
          </w:tcPr>
          <w:p>
            <w:pPr>
              <w:pStyle w:val="TableText"/>
            </w:pPr>
            <w:r>
              <w:t>Cancelled; correction/removal requested; confirmed where supported</w:t>
            </w:r>
          </w:p>
        </w:tc>
      </w:tr>
    </w:tbl>
    <w:p>
      <w:pPr>
        <w:pStyle w:val="TableCitation"/>
      </w:pPr>
    </w:p>
    <w:p>
      <w:pPr/>
      <w:r>
        <w:t>Editing approved text, assets, destination, required disclosure or language creates a new review requirement. Check authorization, approval, suppression, rights expiry and any crisis pause again at execution. Unknown delivery outcomes require reconciliation before retrying to avoid duplicate publication.</w:t>
      </w:r>
    </w:p>
    <w:p>
      <w:pPr>
        <w:pStyle w:val="Heading2"/>
      </w:pPr>
      <w:r>
        <w:t>Social and media-response workflow</w:t>
      </w:r>
    </w:p>
    <w:p>
      <w:pPr/>
      <w:r>
        <w:t>Receive or manually record an inquiry; classify and assign it; preserve the source; prepare a response using approved messages; escalate if necessary; approve; send through a supported channel or export for manual delivery; record the outcome. Separate private messages from public comments. Moderation actions require a reason and an audit record.</w:t>
      </w:r>
    </w:p>
    <w:p>
      <w:pPr>
        <w:pStyle w:val="Heading2"/>
      </w:pPr>
      <w:r>
        <w:t>Public affairs workflow</w:t>
      </w:r>
    </w:p>
    <w:p>
      <w:pPr/>
      <w:r>
        <w:t>Create a policy file; capture the authoritative source and decision stage; identify institutions and stakeholder roles; record the engagement purpose; route potential lobbying obligations for review; prepare briefing/submission materials; record activities and follow-up; retain filing confirmation where relevant. A filed submission or a meeting is not evidence that policy influence was achieved.</w:t>
      </w:r>
    </w:p>
    <w:p>
      <w:pPr>
        <w:pStyle w:val="Heading2"/>
      </w:pPr>
      <w:r>
        <w:t>Issue and crisis workflow</w:t>
      </w:r>
    </w:p>
    <w:p>
      <w:pPr/>
      <w:r>
        <w:t>Open a restricted issue; distinguish confirmed facts from unverified claims; assign an incident lead and spokesperson; pause affected publication queues; approve a holding statement; maintain a decision log and update schedule; document resolution and lessons. A pause prevents future actions under platform control but cannot recall content already public or guarantee cancellation of in-flight provider actions.</w:t>
      </w:r>
    </w:p>
    <w:p>
      <w:pPr>
        <w:pStyle w:val="Heading1"/>
      </w:pPr>
      <w:r>
        <w:t>6. Permission and HR separation model</w:t>
      </w:r>
    </w:p>
    <w:tbl>
      <w:tblPr>
        <w:tblW w:type="dxa" w:w="9360"/>
        <w:tblLayout w:type="fixed"/>
        <w:tblLook w:firstColumn="1" w:firstRow="1" w:lastColumn="0" w:lastRow="0" w:noHBand="0" w:noVBand="1" w:val="04A0"/>
        <w:jc w:val="left"/>
        <w:tblBorders>
          <w:top w:val="single" w:sz="4" w:color="D9DEE5"/>
          <w:left w:val="single" w:sz="4" w:color="D9DEE5"/>
          <w:bottom w:val="single" w:sz="4" w:color="D9DEE5"/>
          <w:right w:val="single" w:sz="4" w:color="D9DEE5"/>
          <w:insideH w:val="single" w:sz="4" w:color="D9DEE5"/>
          <w:insideV w:val="single" w:sz="4" w:color="D9DEE5"/>
        </w:tblBorders>
        <w:tblInd w:type="dxa" w:w="120"/>
      </w:tblPr>
      <w:tblGrid>
        <w:gridCol w:w="2550"/>
        <w:gridCol w:w="3460"/>
        <w:gridCol w:w="3350"/>
      </w:tblGrid>
      <w:tr>
        <w:trPr>
          <w:cantSplit/>
          <w:tblHeader/>
        </w:trPr>
        <w:tc>
          <w:tcPr>
            <w:tcW w:type="dxa" w:w="2550"/>
            <w:vAlign w:val="center"/>
            <w:shd w:fill="F2F4F7"/>
            <w:tcMar>
              <w:top w:w="80" w:type="dxa"/>
              <w:bottom w:w="80" w:type="dxa"/>
              <w:start w:w="120" w:type="dxa"/>
              <w:end w:w="120" w:type="dxa"/>
            </w:tcMar>
          </w:tcPr>
          <w:p>
            <w:pPr>
              <w:pStyle w:val="TableHeader"/>
            </w:pPr>
            <w:r>
              <w:t>Role</w:t>
            </w:r>
          </w:p>
        </w:tc>
        <w:tc>
          <w:tcPr>
            <w:tcW w:type="dxa" w:w="3460"/>
            <w:vAlign w:val="center"/>
            <w:shd w:fill="F2F4F7"/>
            <w:tcMar>
              <w:top w:w="80" w:type="dxa"/>
              <w:bottom w:w="80" w:type="dxa"/>
              <w:start w:w="120" w:type="dxa"/>
              <w:end w:w="120" w:type="dxa"/>
            </w:tcMar>
          </w:tcPr>
          <w:p>
            <w:pPr>
              <w:pStyle w:val="TableHeader"/>
            </w:pPr>
            <w:r>
              <w:t>Default authority</w:t>
            </w:r>
          </w:p>
        </w:tc>
        <w:tc>
          <w:tcPr>
            <w:tcW w:type="dxa" w:w="3350"/>
            <w:vAlign w:val="center"/>
            <w:shd w:fill="F2F4F7"/>
            <w:tcMar>
              <w:top w:w="80" w:type="dxa"/>
              <w:bottom w:w="80" w:type="dxa"/>
              <w:start w:w="120" w:type="dxa"/>
              <w:end w:w="120" w:type="dxa"/>
            </w:tcMar>
          </w:tcPr>
          <w:p>
            <w:pPr>
              <w:pStyle w:val="TableHeader"/>
            </w:pPr>
            <w:r>
              <w:t>Not granted automatically</w:t>
            </w:r>
          </w:p>
        </w:tc>
      </w:tr>
      <w:tr>
        <w:trPr>
          <w:cantSplit/>
        </w:trPr>
        <w:tc>
          <w:tcPr>
            <w:tcW w:type="dxa" w:w="2550"/>
            <w:vAlign w:val="center"/>
            <w:tcMar>
              <w:top w:w="80" w:type="dxa"/>
              <w:bottom w:w="80" w:type="dxa"/>
              <w:start w:w="120" w:type="dxa"/>
              <w:end w:w="120" w:type="dxa"/>
            </w:tcMar>
          </w:tcPr>
          <w:p>
            <w:pPr>
              <w:pStyle w:val="TableText"/>
            </w:pPr>
            <w:r>
              <w:t>Organization administrator</w:t>
            </w:r>
          </w:p>
        </w:tc>
        <w:tc>
          <w:tcPr>
            <w:tcW w:type="dxa" w:w="3460"/>
            <w:vAlign w:val="center"/>
            <w:tcMar>
              <w:top w:w="80" w:type="dxa"/>
              <w:bottom w:w="80" w:type="dxa"/>
              <w:start w:w="120" w:type="dxa"/>
              <w:end w:w="120" w:type="dxa"/>
            </w:tcMar>
          </w:tcPr>
          <w:p>
            <w:pPr>
              <w:pStyle w:val="TableText"/>
            </w:pPr>
            <w:r>
              <w:t>Membership and workspace configuration</w:t>
            </w:r>
          </w:p>
        </w:tc>
        <w:tc>
          <w:tcPr>
            <w:tcW w:type="dxa" w:w="3350"/>
            <w:vAlign w:val="center"/>
            <w:tcMar>
              <w:top w:w="80" w:type="dxa"/>
              <w:bottom w:w="80" w:type="dxa"/>
              <w:start w:w="120" w:type="dxa"/>
              <w:end w:w="120" w:type="dxa"/>
            </w:tcMar>
          </w:tcPr>
          <w:p>
            <w:pPr>
              <w:pStyle w:val="TableText"/>
            </w:pPr>
            <w:r>
              <w:t>Restricted case content or unrestricted export</w:t>
            </w:r>
          </w:p>
        </w:tc>
      </w:tr>
      <w:tr>
        <w:trPr>
          <w:cantSplit/>
        </w:trPr>
        <w:tc>
          <w:tcPr>
            <w:tcW w:type="dxa" w:w="2550"/>
            <w:vAlign w:val="center"/>
            <w:tcMar>
              <w:top w:w="80" w:type="dxa"/>
              <w:bottom w:w="80" w:type="dxa"/>
              <w:start w:w="120" w:type="dxa"/>
              <w:end w:w="120" w:type="dxa"/>
            </w:tcMar>
          </w:tcPr>
          <w:p>
            <w:pPr>
              <w:pStyle w:val="TableText"/>
            </w:pPr>
            <w:r>
              <w:t>Communications manager</w:t>
            </w:r>
          </w:p>
        </w:tc>
        <w:tc>
          <w:tcPr>
            <w:tcW w:type="dxa" w:w="3460"/>
            <w:vAlign w:val="center"/>
            <w:tcMar>
              <w:top w:w="80" w:type="dxa"/>
              <w:bottom w:w="80" w:type="dxa"/>
              <w:start w:w="120" w:type="dxa"/>
              <w:end w:w="120" w:type="dxa"/>
            </w:tcMar>
          </w:tcPr>
          <w:p>
            <w:pPr>
              <w:pStyle w:val="TableText"/>
            </w:pPr>
            <w:r>
              <w:t>Initiatives, content workflow and assigned relationships</w:t>
            </w:r>
          </w:p>
        </w:tc>
        <w:tc>
          <w:tcPr>
            <w:tcW w:type="dxa" w:w="3350"/>
            <w:vAlign w:val="center"/>
            <w:tcMar>
              <w:top w:w="80" w:type="dxa"/>
              <w:bottom w:w="80" w:type="dxa"/>
              <w:start w:w="120" w:type="dxa"/>
              <w:end w:w="120" w:type="dxa"/>
            </w:tcMar>
          </w:tcPr>
          <w:p>
            <w:pPr>
              <w:pStyle w:val="TableText"/>
            </w:pPr>
            <w:r>
              <w:t>Ad spending or restricted HR files</w:t>
            </w:r>
          </w:p>
        </w:tc>
      </w:tr>
      <w:tr>
        <w:trPr>
          <w:cantSplit/>
        </w:trPr>
        <w:tc>
          <w:tcPr>
            <w:tcW w:type="dxa" w:w="2550"/>
            <w:vAlign w:val="center"/>
            <w:tcMar>
              <w:top w:w="80" w:type="dxa"/>
              <w:bottom w:w="80" w:type="dxa"/>
              <w:start w:w="120" w:type="dxa"/>
              <w:end w:w="120" w:type="dxa"/>
            </w:tcMar>
          </w:tcPr>
          <w:p>
            <w:pPr>
              <w:pStyle w:val="TableText"/>
            </w:pPr>
            <w:r>
              <w:t>Contributor</w:t>
            </w:r>
          </w:p>
        </w:tc>
        <w:tc>
          <w:tcPr>
            <w:tcW w:type="dxa" w:w="3460"/>
            <w:vAlign w:val="center"/>
            <w:tcMar>
              <w:top w:w="80" w:type="dxa"/>
              <w:bottom w:w="80" w:type="dxa"/>
              <w:start w:w="120" w:type="dxa"/>
              <w:end w:w="120" w:type="dxa"/>
            </w:tcMar>
          </w:tcPr>
          <w:p>
            <w:pPr>
              <w:pStyle w:val="TableText"/>
            </w:pPr>
            <w:r>
              <w:t>Create/edit assigned drafts and tasks</w:t>
            </w:r>
          </w:p>
        </w:tc>
        <w:tc>
          <w:tcPr>
            <w:tcW w:type="dxa" w:w="3350"/>
            <w:vAlign w:val="center"/>
            <w:tcMar>
              <w:top w:w="80" w:type="dxa"/>
              <w:bottom w:w="80" w:type="dxa"/>
              <w:start w:w="120" w:type="dxa"/>
              <w:end w:w="120" w:type="dxa"/>
            </w:tcMar>
          </w:tcPr>
          <w:p>
            <w:pPr>
              <w:pStyle w:val="TableText"/>
            </w:pPr>
            <w:r>
              <w:t>Final approval or publication</w:t>
            </w:r>
          </w:p>
        </w:tc>
      </w:tr>
      <w:tr>
        <w:trPr>
          <w:cantSplit/>
        </w:trPr>
        <w:tc>
          <w:tcPr>
            <w:tcW w:type="dxa" w:w="2550"/>
            <w:vAlign w:val="center"/>
            <w:tcMar>
              <w:top w:w="80" w:type="dxa"/>
              <w:bottom w:w="80" w:type="dxa"/>
              <w:start w:w="120" w:type="dxa"/>
              <w:end w:w="120" w:type="dxa"/>
            </w:tcMar>
          </w:tcPr>
          <w:p>
            <w:pPr>
              <w:pStyle w:val="TableText"/>
            </w:pPr>
            <w:r>
              <w:t>Reviewer / specialist</w:t>
            </w:r>
          </w:p>
        </w:tc>
        <w:tc>
          <w:tcPr>
            <w:tcW w:type="dxa" w:w="3460"/>
            <w:vAlign w:val="center"/>
            <w:tcMar>
              <w:top w:w="80" w:type="dxa"/>
              <w:bottom w:w="80" w:type="dxa"/>
              <w:start w:w="120" w:type="dxa"/>
              <w:end w:w="120" w:type="dxa"/>
            </w:tcMar>
          </w:tcPr>
          <w:p>
            <w:pPr>
              <w:pStyle w:val="TableText"/>
            </w:pPr>
            <w:r>
              <w:t>Review assigned items within scope</w:t>
            </w:r>
          </w:p>
        </w:tc>
        <w:tc>
          <w:tcPr>
            <w:tcW w:type="dxa" w:w="3350"/>
            <w:vAlign w:val="center"/>
            <w:tcMar>
              <w:top w:w="80" w:type="dxa"/>
              <w:bottom w:w="80" w:type="dxa"/>
              <w:start w:w="120" w:type="dxa"/>
              <w:end w:w="120" w:type="dxa"/>
            </w:tcMar>
          </w:tcPr>
          <w:p>
            <w:pPr>
              <w:pStyle w:val="TableText"/>
            </w:pPr>
            <w:r>
              <w:t>Publishing, spending or broad contact access</w:t>
            </w:r>
          </w:p>
        </w:tc>
      </w:tr>
      <w:tr>
        <w:trPr>
          <w:cantSplit/>
        </w:trPr>
        <w:tc>
          <w:tcPr>
            <w:tcW w:type="dxa" w:w="2550"/>
            <w:vAlign w:val="center"/>
            <w:tcMar>
              <w:top w:w="80" w:type="dxa"/>
              <w:bottom w:w="80" w:type="dxa"/>
              <w:start w:w="120" w:type="dxa"/>
              <w:end w:w="120" w:type="dxa"/>
            </w:tcMar>
          </w:tcPr>
          <w:p>
            <w:pPr>
              <w:pStyle w:val="TableText"/>
            </w:pPr>
            <w:r>
              <w:t>Publisher</w:t>
            </w:r>
          </w:p>
        </w:tc>
        <w:tc>
          <w:tcPr>
            <w:tcW w:type="dxa" w:w="3460"/>
            <w:vAlign w:val="center"/>
            <w:tcMar>
              <w:top w:w="80" w:type="dxa"/>
              <w:bottom w:w="80" w:type="dxa"/>
              <w:start w:w="120" w:type="dxa"/>
              <w:end w:w="120" w:type="dxa"/>
            </w:tcMar>
          </w:tcPr>
          <w:p>
            <w:pPr>
              <w:pStyle w:val="TableText"/>
            </w:pPr>
            <w:r>
              <w:t>Release approved content to assigned destinations</w:t>
            </w:r>
          </w:p>
        </w:tc>
        <w:tc>
          <w:tcPr>
            <w:tcW w:type="dxa" w:w="3350"/>
            <w:vAlign w:val="center"/>
            <w:tcMar>
              <w:top w:w="80" w:type="dxa"/>
              <w:bottom w:w="80" w:type="dxa"/>
              <w:start w:w="120" w:type="dxa"/>
              <w:end w:w="120" w:type="dxa"/>
            </w:tcMar>
          </w:tcPr>
          <w:p>
            <w:pPr>
              <w:pStyle w:val="TableText"/>
            </w:pPr>
            <w:r>
              <w:t>Changing approved material without review</w:t>
            </w:r>
          </w:p>
        </w:tc>
      </w:tr>
      <w:tr>
        <w:trPr>
          <w:cantSplit/>
        </w:trPr>
        <w:tc>
          <w:tcPr>
            <w:tcW w:type="dxa" w:w="2550"/>
            <w:vAlign w:val="center"/>
            <w:tcMar>
              <w:top w:w="80" w:type="dxa"/>
              <w:bottom w:w="80" w:type="dxa"/>
              <w:start w:w="120" w:type="dxa"/>
              <w:end w:w="120" w:type="dxa"/>
            </w:tcMar>
          </w:tcPr>
          <w:p>
            <w:pPr>
              <w:pStyle w:val="TableText"/>
            </w:pPr>
            <w:r>
              <w:t>Public affairs practitioner</w:t>
            </w:r>
          </w:p>
        </w:tc>
        <w:tc>
          <w:tcPr>
            <w:tcW w:type="dxa" w:w="3460"/>
            <w:vAlign w:val="center"/>
            <w:tcMar>
              <w:top w:w="80" w:type="dxa"/>
              <w:bottom w:w="80" w:type="dxa"/>
              <w:start w:w="120" w:type="dxa"/>
              <w:end w:w="120" w:type="dxa"/>
            </w:tcMar>
          </w:tcPr>
          <w:p>
            <w:pPr>
              <w:pStyle w:val="TableText"/>
            </w:pPr>
            <w:r>
              <w:t>Assigned policy files and engagements</w:t>
            </w:r>
          </w:p>
        </w:tc>
        <w:tc>
          <w:tcPr>
            <w:tcW w:type="dxa" w:w="3350"/>
            <w:vAlign w:val="center"/>
            <w:tcMar>
              <w:top w:w="80" w:type="dxa"/>
              <w:bottom w:w="80" w:type="dxa"/>
              <w:start w:w="120" w:type="dxa"/>
              <w:end w:w="120" w:type="dxa"/>
            </w:tcMar>
          </w:tcPr>
          <w:p>
            <w:pPr>
              <w:pStyle w:val="TableText"/>
            </w:pPr>
            <w:r>
              <w:t>Sensitive HR records or all private messages</w:t>
            </w:r>
          </w:p>
        </w:tc>
      </w:tr>
      <w:tr>
        <w:trPr>
          <w:cantSplit/>
        </w:trPr>
        <w:tc>
          <w:tcPr>
            <w:tcW w:type="dxa" w:w="2550"/>
            <w:vAlign w:val="center"/>
            <w:tcMar>
              <w:top w:w="80" w:type="dxa"/>
              <w:bottom w:w="80" w:type="dxa"/>
              <w:start w:w="120" w:type="dxa"/>
              <w:end w:w="120" w:type="dxa"/>
            </w:tcMar>
          </w:tcPr>
          <w:p>
            <w:pPr>
              <w:pStyle w:val="TableText"/>
            </w:pPr>
            <w:r>
              <w:t>Analyst / guest</w:t>
            </w:r>
          </w:p>
        </w:tc>
        <w:tc>
          <w:tcPr>
            <w:tcW w:type="dxa" w:w="3460"/>
            <w:vAlign w:val="center"/>
            <w:tcMar>
              <w:top w:w="80" w:type="dxa"/>
              <w:bottom w:w="80" w:type="dxa"/>
              <w:start w:w="120" w:type="dxa"/>
              <w:end w:w="120" w:type="dxa"/>
            </w:tcMar>
          </w:tcPr>
          <w:p>
            <w:pPr>
              <w:pStyle w:val="TableText"/>
            </w:pPr>
            <w:r>
              <w:t>Approved reports or explicitly shared items</w:t>
            </w:r>
          </w:p>
        </w:tc>
        <w:tc>
          <w:tcPr>
            <w:tcW w:type="dxa" w:w="3350"/>
            <w:vAlign w:val="center"/>
            <w:tcMar>
              <w:top w:w="80" w:type="dxa"/>
              <w:bottom w:w="80" w:type="dxa"/>
              <w:start w:w="120" w:type="dxa"/>
              <w:end w:w="120" w:type="dxa"/>
            </w:tcMar>
          </w:tcPr>
          <w:p>
            <w:pPr>
              <w:pStyle w:val="TableText"/>
            </w:pPr>
            <w:r>
              <w:t>Raw personal data, credentials or bulk export</w:t>
            </w:r>
          </w:p>
        </w:tc>
      </w:tr>
    </w:tbl>
    <w:p>
      <w:pPr>
        <w:pStyle w:val="TableCitation"/>
      </w:pPr>
    </w:p>
    <w:p>
      <w:pPr/>
      <w:r>
        <w:t>Enforce permissions in data access and server-side operations, not just navigation. Separate view, draft, approve, publish, export, spend, connect-account, and manage-members capabilities. Restricted files need explicit membership; audited, time-limited elevated access requires a defined policy.</w:t>
      </w:r>
    </w:p>
    <w:p>
      <w:pPr/>
      <w:r>
        <w:t>Use a deliberate HR-to-communications handoff: an authorized HR user prepares a minimum-necessary, redacted summary; an authorized communications user receives only that summary. No automatic copying of investigations, health information, disciplinary records, or employee profiles into marketing audiences, social analysis, or AI context.</w:t>
      </w:r>
    </w:p>
    <w:p>
      <w:pPr/>
      <w:r>
        <w:t>Apply the same boundary to notification previews, dashboard counts, vector search, exports and logs. Sharing a task or document component must not imply sharing the underlying records. Guest access expires and is restricted to named objects; it is not agency-wide access to a customer tenant.</w:t>
      </w:r>
    </w:p>
    <w:p>
      <w:pPr>
        <w:pStyle w:val="Heading1"/>
      </w:pPr>
      <w:r>
        <w:t>7. Domain-specific foundations</w:t>
      </w:r>
    </w:p>
    <w:p>
      <w:pPr>
        <w:pStyle w:val="Heading2"/>
      </w:pPr>
      <w:r>
        <w:t>Social media management</w:t>
      </w:r>
    </w:p>
    <w:p>
      <w:pPr>
        <w:pStyle w:val="BlueprintBullet"/>
      </w:pPr>
      <w:r>
        <w:t>Model channel accounts, owners, credentials, capabilities and health separately from content. Track which formats, publishing actions, messages, comments and analytics are actually supported.</w:t>
      </w:r>
    </w:p>
    <w:p>
      <w:pPr>
        <w:pStyle w:val="BlueprintBullet"/>
      </w:pPr>
      <w:r>
        <w:t>Provide channel previews, accessibility fields, language variants, publication windows and scheduling time zones. A universal composer must preserve channel-specific restrictions.</w:t>
      </w:r>
    </w:p>
    <w:p>
      <w:pPr>
        <w:pStyle w:val="BlueprintBullet"/>
      </w:pPr>
      <w:r>
        <w:t>Separate publishing, engagement management, listening, and reporting into independently enabled capabilities. A connector supporting posts does not necessarily support DMs or listening.</w:t>
      </w:r>
    </w:p>
    <w:p>
      <w:pPr>
        <w:pStyle w:val="BlueprintBullet"/>
      </w:pPr>
      <w:r>
        <w:t>Start with export/manual confirmation; add one validated publishing connector next. Do not promise all-channel scheduling, a universal inbox or comprehensive social listening at launch.</w:t>
      </w:r>
    </w:p>
    <w:p>
      <w:pPr>
        <w:pStyle w:val="Heading2"/>
      </w:pPr>
      <w:r>
        <w:t>Public relations and corporate communications</w:t>
      </w:r>
    </w:p>
    <w:p>
      <w:pPr/>
      <w:r>
        <w:t>Support media inquiry deadlines, embargoes, pitch history, approved spokespersons, press-kit assets and coverage records. Corporate communications adds audience visibility, internal-only material, change messages and FAQs. Coverage rights, quotation accuracy and source provenance belong in the record, not only in a final checklist.</w:t>
      </w:r>
    </w:p>
    <w:p>
      <w:pPr>
        <w:pStyle w:val="Heading2"/>
      </w:pPr>
      <w:r>
        <w:t>Public affairs</w:t>
      </w:r>
    </w:p>
    <w:p>
      <w:pPr/>
      <w:r>
        <w:t>Support policy watchlists, official-source links, consultation deadlines, briefing notes, position papers, institutional roles, meeting records and coalition responsibilities. Government relations, community engagement and public-policy research are broader than lobbying; nevertheless, activity classification may trigger a jurisdiction-specific review.</w:t>
      </w:r>
    </w:p>
    <w:p>
      <w:pPr/>
      <w:r>
        <w:t>Keep legislation proposed, enacted and in force as different statuses, with effective dates and last verification. Use a filing record for authority, filer, deadline, version, receipt and status. V1 can track a human-reviewed obligation; it must not certify registration requirements or file automatically.</w:t>
      </w:r>
    </w:p>
    <w:p>
      <w:pPr>
        <w:pStyle w:val="Heading2"/>
      </w:pPr>
      <w:r>
        <w:t>Marketing, advertising and IMC</w:t>
      </w:r>
    </w:p>
    <w:p>
      <w:pPr/>
      <w:r>
        <w:t>Marketing manages audiences, briefs, content, email programmes, events, partnerships and lifecycle objectives. Advertising adds placements, targeting specifications, creative variants, disclosures and currency-aware spend controls. IMC links these to the same objectives, messages and calendar without creating duplicate contacts or assets.</w:t>
      </w:r>
    </w:p>
    <w:p>
      <w:pPr/>
      <w:r>
        <w:t>Initially record budgets and actual spend manually. Later ad execution must require explicit budget authority, approval of creative and destination, enforced limits where supported, reconciliation and a stop control. Keep electoral/partisan advertising, sensitive-trait targeting and regulated-sector advertising outside the initial execution scope pending specialist review.</w:t>
      </w:r>
    </w:p>
    <w:p>
      <w:pPr>
        <w:pStyle w:val="Heading1"/>
      </w:pPr>
      <w:r>
        <w:t>8. AI, intelligence and measurement</w:t>
      </w:r>
    </w:p>
    <w:p>
      <w:pPr>
        <w:pStyle w:val="Heading2"/>
      </w:pPr>
      <w:r>
        <w:t>AI operating contract</w:t>
      </w:r>
    </w:p>
    <w:p>
      <w:pPr/>
      <w:r>
        <w:t>AI should help users think and coordinate while preserving their own voice. Allow user-supplied voice examples and terminology, show proposed edits, preserve manual changes, and make assistance optional. Do not equate greater content volume with better communications.</w:t>
      </w:r>
    </w:p>
    <w:p>
      <w:pPr>
        <w:pStyle w:val="BlueprintBullet"/>
      </w:pPr>
      <w:r>
        <w:t>Permitted assistance: source-backed summaries, brief structuring, draft alternatives, EN/FR adaptation, message consistency checks, claim flags, meeting-note summaries and suggested metrics.</w:t>
      </w:r>
    </w:p>
    <w:p>
      <w:pPr>
        <w:pStyle w:val="BlueprintBullet"/>
      </w:pPr>
      <w:r>
        <w:t>Human-controlled actions: external publication, outreach, moderation, ad spending, lobbying filings, crisis statements and material policy positions. AI text remains a draft until reviewed.</w:t>
      </w:r>
    </w:p>
    <w:p>
      <w:pPr>
        <w:pStyle w:val="BlueprintBullet"/>
      </w:pPr>
      <w:r>
        <w:t>Prohibited product behaviours: fabricated quotes, sources, testimonials or coverage; impersonation; hidden endorsements; manufactured grassroots support; HR-data-based audience targeting; inference of private political beliefs for targeting.</w:t>
      </w:r>
    </w:p>
    <w:p>
      <w:pPr>
        <w:pStyle w:val="BlueprintBullet"/>
      </w:pPr>
      <w:r>
        <w:t>Retrieved web and social content is untrusted input. It cannot instruct the system to expose private records, change recipients, bypass approval or execute tools. Retrieval must be tenant-scoped and permission-filtered.</w:t>
      </w:r>
    </w:p>
    <w:p>
      <w:pPr>
        <w:pStyle w:val="BlueprintBullet"/>
      </w:pPr>
      <w:r>
        <w:t>Record model/version, source references, generation time and review outcome at an appropriate level. Minimize sensitive prompt logging; do not send restricted records to an unapproved provider.</w:t>
      </w:r>
    </w:p>
    <w:p>
      <w:pPr>
        <w:pStyle w:val="Heading2"/>
      </w:pPr>
      <w:r>
        <w:t>Intelligence quality</w:t>
      </w:r>
    </w:p>
    <w:p>
      <w:pPr/>
      <w:r>
        <w:t>Distinguish manually entered observations, connected-provider records and AI interpretations. Show source coverage, last successful refresh, known gaps and deduplication method. Treat sentiment and narrative classification as uncertain analytical outputs with language-specific evaluation and human correction, especially for sarcasm, quotations and Canadian French.</w:t>
      </w:r>
    </w:p>
    <w:p>
      <w:pPr>
        <w:pStyle w:val="Heading2"/>
      </w:pPr>
      <w:r>
        <w:t>Results that match the work</w:t>
      </w:r>
    </w:p>
    <w:p>
      <w:pPr/>
      <w:r>
        <w:t>Every objective needs a definition, baseline if available, target, period, owner and evidence source. Examples: qualified registrations for a launch; correct message inclusion in reviewed coverage for PR; employee understanding for internal communications; verified consultation milestones for public affairs; cost per defined conversion for paid media.</w:t>
      </w:r>
    </w:p>
    <w:p>
      <w:pPr/>
      <w:r>
        <w:t>Keep activity, reach, engagement, understanding, behaviour and organizational outcomes distinct. Record platform-specific metric definitions and attribution windows; do not sum overlapping reach as unique people or imply that correlation proves causation. Missing data is unavailable, not zero. Imported and manually entered results must be visibly labelled.</w:t>
      </w:r>
    </w:p>
    <w:p>
      <w:pPr>
        <w:pStyle w:val="Heading1"/>
      </w:pPr>
      <w:r>
        <w:t>9. Canadian governance requirements to encode</w:t>
      </w:r>
    </w:p>
    <w:p>
      <w:pPr/>
      <w:r>
        <w:t>These are design implications informed by official guidance, not a complete applicability assessment or legal approval. Applicability depends on the organization, activity, recipient, channel, geography and date. Do not reuse HR’s employment-jurisdiction selector as the entire communications rules engine.</w:t>
      </w:r>
    </w:p>
    <w:p>
      <w:pPr>
        <w:pStyle w:val="Heading2"/>
      </w:pPr>
      <w:r>
        <w:t>Commercial electronic messaging</w:t>
      </w:r>
    </w:p>
    <w:p>
      <w:pPr/>
      <w:r>
        <w:t>CRTC guidance identifies consent, sender identification and an unsubscribe mechanism as the core requirements for commercial electronic messages, subject to applicable exceptions. The product should retain evidence, support scoped suppression, and recheck eligibility at send time. Whether a particular message or social interaction is a CEM needs assessment; not every social post should receive the same rule.</w:t>
      </w:r>
      <w:r>
        <w:t xml:space="preserve"> </w:t>
      </w:r>
      <w:hyperlink r:id="rId11">
        <w:r>
          <w:rPr>
            <w:color w:val="1F4D78"/>
            <w:u w:val="single"/>
          </w:rPr>
          <w:t>[S1]</w:t>
        </w:r>
      </w:hyperlink>
    </w:p>
    <w:p>
      <w:pPr>
        <w:pStyle w:val="Heading2"/>
      </w:pPr>
      <w:r>
        <w:t>Privacy and data reuse</w:t>
      </w:r>
    </w:p>
    <w:p>
      <w:pPr/>
      <w:r>
        <w:t>OPC guidance treats online behavioural-advertising information as generally personal information and identifies political opinions among sensitive categories. Design for purpose limitation, meaningful choices and minimization; do not infer targeting permission from a public profile or an existing HR relationship.</w:t>
      </w:r>
      <w:r>
        <w:t xml:space="preserve"> </w:t>
      </w:r>
      <w:hyperlink r:id="rId12">
        <w:r>
          <w:rPr>
            <w:color w:val="1F4D78"/>
            <w:u w:val="single"/>
          </w:rPr>
          <w:t>[S2]</w:t>
        </w:r>
      </w:hyperlink>
    </w:p>
    <w:p>
      <w:pPr/>
      <w:r>
        <w:t>Québec’s CAI identifies privacy-impact assessment requirements for relevant information-system projects and before disclosure outside Québec. Build a data-flow and provider review before enabling these features. “Hosted in Canada” alone does not resolve an outside-Québec assessment or downstream provider disclosure.</w:t>
      </w:r>
      <w:r>
        <w:t xml:space="preserve"> </w:t>
      </w:r>
      <w:hyperlink r:id="rId13">
        <w:r>
          <w:rPr>
            <w:color w:val="1F4D78"/>
            <w:u w:val="single"/>
          </w:rPr>
          <w:t>[S3]</w:t>
        </w:r>
      </w:hyperlink>
    </w:p>
    <w:p>
      <w:pPr>
        <w:pStyle w:val="Heading2"/>
      </w:pPr>
      <w:r>
        <w:t>Claims, creators and endorsements</w:t>
      </w:r>
    </w:p>
    <w:p>
      <w:pPr/>
      <w:r>
        <w:t>Competition Bureau guidance calls for disclosure of material connections in influencer marketing and addresses performance claims requiring adequate and proper testing. Design a claim/evidence register, disclosure fields, asset-rights checks and an approval expiry. An AI-generated citation is not substantiation.</w:t>
      </w:r>
      <w:r>
        <w:t xml:space="preserve"> </w:t>
      </w:r>
      <w:hyperlink r:id="rId14">
        <w:r>
          <w:rPr>
            <w:color w:val="1F4D78"/>
            <w:u w:val="single"/>
          </w:rPr>
          <w:t>[S4]</w:t>
        </w:r>
      </w:hyperlink>
      <w:r>
        <w:t xml:space="preserve"> </w:t>
      </w:r>
      <w:hyperlink r:id="rId15">
        <w:r>
          <w:rPr>
            <w:color w:val="1F4D78"/>
            <w:u w:val="single"/>
          </w:rPr>
          <w:t>[S5]</w:t>
        </w:r>
      </w:hyperlink>
    </w:p>
    <w:p>
      <w:pPr>
        <w:pStyle w:val="Heading2"/>
      </w:pPr>
      <w:r>
        <w:t>Lobbying and public affairs</w:t>
      </w:r>
    </w:p>
    <w:p>
      <w:pPr/>
      <w:r>
        <w:t>Federal, Ontario and Québec regimes require separate applicability logic. The federal Commissioner’s 2025–26 report records a changed in-house registration threshold, while Ontario distinguishes consultant and in-house categories. Québec has its own statutory scheme. This is a reason to version rules by authority, actor, activity and effective date—not to embed one national “lobbying” checkbox.</w:t>
      </w:r>
      <w:r>
        <w:t xml:space="preserve"> </w:t>
      </w:r>
      <w:hyperlink r:id="rId16">
        <w:r>
          <w:rPr>
            <w:color w:val="1F4D78"/>
            <w:u w:val="single"/>
          </w:rPr>
          <w:t>[S6]</w:t>
        </w:r>
      </w:hyperlink>
      <w:r>
        <w:t xml:space="preserve"> </w:t>
      </w:r>
      <w:hyperlink r:id="rId17">
        <w:r>
          <w:rPr>
            <w:color w:val="1F4D78"/>
            <w:u w:val="single"/>
          </w:rPr>
          <w:t>[S7]</w:t>
        </w:r>
      </w:hyperlink>
      <w:r>
        <w:t xml:space="preserve"> </w:t>
      </w:r>
      <w:hyperlink r:id="rId18">
        <w:r>
          <w:rPr>
            <w:color w:val="1F4D78"/>
            <w:u w:val="single"/>
          </w:rPr>
          <w:t>[S8]</w:t>
        </w:r>
      </w:hyperlink>
    </w:p>
    <w:p>
      <w:pPr>
        <w:pStyle w:val="Heading2"/>
      </w:pPr>
      <w:r>
        <w:t>French-language delivery</w:t>
      </w:r>
    </w:p>
    <w:p>
      <w:pPr/>
      <w:r>
        <w:t>OQLF guidance addresses French availability for relevant websites, social-media material and commercial publications. Build linked EN/FR reviews, quality checks and destination-aware release requirements. A bilingual interface or automatic translation alone does not establish compliance for a customer’s publications.</w:t>
      </w:r>
      <w:r>
        <w:t xml:space="preserve"> </w:t>
      </w:r>
      <w:hyperlink r:id="rId19">
        <w:r>
          <w:rPr>
            <w:color w:val="1F4D78"/>
            <w:u w:val="single"/>
          </w:rPr>
          <w:t>[S9]</w:t>
        </w:r>
      </w:hyperlink>
    </w:p>
    <w:p>
      <w:pPr>
        <w:pStyle w:val="Heading2"/>
      </w:pPr>
      <w:r>
        <w:t>Additional release reviews</w:t>
      </w:r>
    </w:p>
    <w:p>
      <w:pPr/>
      <w:r>
        <w:t>Product controls should include accessible authoring and outputs, copyright/licensing, records retention, privacy requests, incident response, defamation risk and sector-specific claims. Electoral advertising, contests, child-directed marketing and regulated industries need separate legal scoping before activation. This blueprint does not establish the requirements for those activities.</w:t>
      </w:r>
    </w:p>
    <w:p>
      <w:pPr>
        <w:pStyle w:val="Heading1"/>
      </w:pPr>
      <w:r>
        <w:t>10. Architecture and integration boundaries</w:t>
      </w:r>
    </w:p>
    <w:p>
      <w:pPr/>
      <w:r>
        <w:t>Recommended architecture: a modular application using existing Dutiva engineering patterns where verified, with a clearly separated communications domain. Do not begin with microservices or copy an entire HR module. Reuse services through explicit interfaces, not imports that expose HR business records.</w:t>
      </w:r>
    </w:p>
    <w:p>
      <w:pPr>
        <w:pStyle w:val="BlueprintBullet"/>
      </w:pPr>
      <w:r>
        <w:t>Application layer: shared shell and design system; bilingual labels; communications feature areas; centralized capability checks; accessible empty, loading, error and partial-success states.</w:t>
      </w:r>
    </w:p>
    <w:p>
      <w:pPr>
        <w:pStyle w:val="BlueprintBullet"/>
      </w:pPr>
      <w:r>
        <w:t>Domain layer: typed initiative, content, relationship, approval, policy-file and measurement models; validated state transitions; no provider-specific assumptions in canonical records.</w:t>
      </w:r>
    </w:p>
    <w:p>
      <w:pPr>
        <w:pStyle w:val="BlueprintBullet"/>
      </w:pPr>
      <w:r>
        <w:t>Data and AI layer: tenant isolation, restricted-object access, retention classification, approved-source retrieval, provenance, audit records and controlled exports.</w:t>
      </w:r>
    </w:p>
    <w:p>
      <w:pPr>
        <w:pStyle w:val="BlueprintBullet"/>
      </w:pPr>
      <w:r>
        <w:t>Execution layer, added when needed: durable jobs, UTC instants plus IANA time zones, idempotency, retries, reconciliation, credential protection, webhook verification and operational alerts.</w:t>
      </w:r>
    </w:p>
    <w:p>
      <w:pPr>
        <w:pStyle w:val="BlueprintBullet"/>
      </w:pPr>
      <w:r>
        <w:t>Provider layer: one adapter per validated provider capability. Keep secrets server-side. Revoked credentials, expired approvals, rate limits and provider outages must be normal handled states.</w:t>
      </w:r>
    </w:p>
    <w:p>
      <w:pPr>
        <w:pStyle w:val="Heading2"/>
      </w:pPr>
      <w:r>
        <w:t>Build versus integrate</w:t>
      </w:r>
    </w:p>
    <w:p>
      <w:pPr/>
      <w:r>
        <w:t>Own the workflow, bilingual review, permissions, evidence links, approvals, human accountability and consistent records. Integrate external distribution, social networks, ad networks and licensed monitoring only after demand is validated. Do not build a crawler, media-contact database or all-network inbox merely to make the first release appear complete.</w:t>
      </w:r>
    </w:p>
    <w:p>
      <w:pPr/>
      <w:r>
        <w:t>Before any connector commitment, verify supported account types, allowed actions, app-review prerequisites, quotas, pricing, data-processing terms, residency implications, retention limits and deletion rules. The present blueprint does not assert that a specific provider grants any required capability.</w:t>
      </w:r>
    </w:p>
    <w:p>
      <w:pPr/>
      <w:r>
        <w:t>Set per-organization usage controls for AI, monitoring, storage and connector activity. Measure unit costs during pilots before setting plans or promising unlimited usage. Do not commit to an implementation date or budget until the existing code and external dependencies have been inspected.</w:t>
      </w:r>
    </w:p>
    <w:p>
      <w:pPr>
        <w:pStyle w:val="Heading1"/>
      </w:pPr>
      <w:r>
        <w:t>11. Delivery plan and acceptance gates</w:t>
      </w:r>
    </w:p>
    <w:p>
      <w:pPr>
        <w:pStyle w:val="Heading2"/>
      </w:pPr>
      <w:r>
        <w:t>Phase 0 — Foundation contract</w:t>
      </w:r>
    </w:p>
    <w:p>
      <w:pPr/>
      <w:r>
        <w:t>Inspect the repository’s canonical facts and engineering instructions. Inventory what can safely be reused, identify permission and data-flow gaps, and record architecture decisions. Produce the domain glossary, navigation map, typed contracts, state diagrams, role matrix, bilingual terminology and a prioritized backlog. No external publishing or production migration is part of this planning step.</w:t>
      </w:r>
    </w:p>
    <w:p>
      <w:pPr>
        <w:pStyle w:val="Heading2"/>
      </w:pPr>
      <w:r>
        <w:t>Phase 1 — Usable planning and approval MVP</w:t>
      </w:r>
    </w:p>
    <w:p>
      <w:pPr/>
      <w:r>
        <w:t>Build initiatives and objectives; brand/message/claim records; a shared calendar; linked EN/FR content; revisions and approvals; purpose-labelled contacts; media inquiries; manual policy files and consultation deadlines; restricted issue records; exports and manual publication evidence; basic source-labelled results. AI drafting is optional and must not block the core workflow.</w:t>
      </w:r>
    </w:p>
    <w:p>
      <w:pPr/>
      <w:r>
        <w:t>Keep the public affairs foundation lightweight but first-class. Keep social planning and channel variants first-class even before publishing is connected. Advertising in this phase is planning, creative review and budget records—not ad execution or automated optimization.</w:t>
      </w:r>
    </w:p>
    <w:p>
      <w:pPr>
        <w:pStyle w:val="Heading2"/>
      </w:pPr>
      <w:r>
        <w:t>Phase 2 — Controlled execution</w:t>
      </w:r>
    </w:p>
    <w:p>
      <w:pPr/>
      <w:r>
        <w:t>Add one social publishing connector selected using actual pilot demand. Introduce durable scheduling, receipts, retries, reconciliation and queue pause. Add email distribution or a limited engagement inbox only when their permissions, suppression rules and support costs have been validated. Release these capabilities independently.</w:t>
      </w:r>
    </w:p>
    <w:p>
      <w:pPr>
        <w:pStyle w:val="Heading2"/>
      </w:pPr>
      <w:r>
        <w:t>Phase 3 — Intelligence and domain depth</w:t>
      </w:r>
    </w:p>
    <w:p>
      <w:pPr/>
      <w:r>
        <w:t>Add licensed media/social monitoring, deeper public affairs reporting, consultation tracking, advanced measurement and selected ad-platform connections. Agency workspaces and political/regulated workflows require their own go/no-go decisions. Expand only after the core workflow is reliable and costs are understood.</w:t>
      </w:r>
    </w:p>
    <w:p>
      <w:pPr>
        <w:pStyle w:val="Heading2"/>
      </w:pPr>
      <w:r>
        <w:t>Required MVP acceptance tests</w:t>
      </w:r>
    </w:p>
    <w:p>
      <w:pPr>
        <w:pStyle w:val="BlueprintBullet"/>
      </w:pPr>
      <w:r>
        <w:t>Isolation: attempts to access another tenant or unauthorized HR record fail through UI, direct data access, exports, notifications and AI retrieval.</w:t>
      </w:r>
    </w:p>
    <w:p>
      <w:pPr>
        <w:pStyle w:val="BlueprintBullet"/>
      </w:pPr>
      <w:r>
        <w:t>Review integrity: edits invalidate approval; an English revision marks dependent French content for review; the approved asset version is preserved.</w:t>
      </w:r>
    </w:p>
    <w:p>
      <w:pPr>
        <w:pStyle w:val="BlueprintBullet"/>
      </w:pPr>
      <w:r>
        <w:t>Domain coverage: users can complete a cross-channel campaign, record a media inquiry, and manage a policy consultation that has no marketing campaign parent.</w:t>
      </w:r>
    </w:p>
    <w:p>
      <w:pPr>
        <w:pStyle w:val="BlueprintBullet"/>
      </w:pPr>
      <w:r>
        <w:t>Honest execution states: an export is not labelled published; a manual confirmation is distinguished from a provider-confirmed receipt; unavailable metrics are not fabricated.</w:t>
      </w:r>
    </w:p>
    <w:p>
      <w:pPr>
        <w:pStyle w:val="BlueprintBullet"/>
      </w:pPr>
      <w:r>
        <w:t>Contact purpose: suppression and purpose restrictions survive import/export workflows; contacts cannot automatically become advertising audiences.</w:t>
      </w:r>
    </w:p>
    <w:p>
      <w:pPr>
        <w:pStyle w:val="BlueprintBullet"/>
      </w:pPr>
      <w:r>
        <w:t>Safety and accessibility: keyboard and screen-reader workflows work; source evidence remains visible; restricted content cannot leak through AI prompts or retrieved instructions.</w:t>
      </w:r>
    </w:p>
    <w:p>
      <w:pPr>
        <w:pStyle w:val="BlueprintBullet"/>
      </w:pPr>
      <w:r>
        <w:t>Execution extension: before Phase 2 release, test expired credentials, time-zone changes, late cancellations, duplicate jobs, partial failures, unknown outcomes and crisis pauses.</w:t>
      </w:r>
    </w:p>
    <w:p>
      <w:pPr>
        <w:pStyle w:val="Heading1"/>
      </w:pPr>
      <w:r>
        <w:t>12. First validation scenario and decisions</w:t>
      </w:r>
    </w:p>
    <w:p>
      <w:pPr>
        <w:pStyle w:val="Heading2"/>
      </w:pPr>
      <w:r>
        <w:t>Pilot scenario: a bilingual SMB product launch</w:t>
      </w:r>
    </w:p>
    <w:p>
      <w:pPr/>
      <w:r>
        <w:t>Create an initiative with an explicitly defined registration objective and an approved claim set. Produce an EN/FR announcement, social variants, a press pitch and a newsletter draft. Assign reviews, demonstrate a claim rejection, update one language version, export the final publication packet, record manual release evidence and add observed results. All activity refers to the same initiative without duplicating the content history.</w:t>
      </w:r>
    </w:p>
    <w:p>
      <w:pPr/>
      <w:r>
        <w:t>Then create a separate policy-consultation file, attach the official notice, record its deadline, prepare a briefing note and log a stakeholder interaction. Confirm that this workflow does not require a sales objective. Finally, create a restricted issue from a redacted HR handoff and verify that the communications team cannot open the underlying HR case.</w:t>
      </w:r>
    </w:p>
    <w:p>
      <w:pPr>
        <w:pStyle w:val="Heading2"/>
      </w:pPr>
      <w:r>
        <w:t>Decisions to confirm before implementation</w:t>
      </w:r>
    </w:p>
    <w:tbl>
      <w:tblPr>
        <w:tblW w:type="dxa" w:w="9360"/>
        <w:tblLayout w:type="fixed"/>
        <w:tblLook w:firstColumn="1" w:firstRow="1" w:lastColumn="0" w:lastRow="0" w:noHBand="0" w:noVBand="1" w:val="04A0"/>
        <w:jc w:val="left"/>
        <w:tblBorders>
          <w:top w:val="single" w:sz="4" w:color="D9DEE5"/>
          <w:left w:val="single" w:sz="4" w:color="D9DEE5"/>
          <w:bottom w:val="single" w:sz="4" w:color="D9DEE5"/>
          <w:right w:val="single" w:sz="4" w:color="D9DEE5"/>
          <w:insideH w:val="single" w:sz="4" w:color="D9DEE5"/>
          <w:insideV w:val="single" w:sz="4" w:color="D9DEE5"/>
        </w:tblBorders>
        <w:tblInd w:type="dxa" w:w="120"/>
      </w:tblPr>
      <w:tblGrid>
        <w:gridCol w:w="3020"/>
        <w:gridCol w:w="6340"/>
      </w:tblGrid>
      <w:tr>
        <w:trPr>
          <w:cantSplit/>
          <w:tblHeader/>
        </w:trPr>
        <w:tc>
          <w:tcPr>
            <w:tcW w:type="dxa" w:w="3020"/>
            <w:vAlign w:val="center"/>
            <w:shd w:fill="F2F4F7"/>
            <w:tcMar>
              <w:top w:w="80" w:type="dxa"/>
              <w:bottom w:w="80" w:type="dxa"/>
              <w:start w:w="120" w:type="dxa"/>
              <w:end w:w="120" w:type="dxa"/>
            </w:tcMar>
          </w:tcPr>
          <w:p>
            <w:pPr>
              <w:pStyle w:val="TableHeader"/>
            </w:pPr>
            <w:r>
              <w:t>Decision</w:t>
            </w:r>
          </w:p>
        </w:tc>
        <w:tc>
          <w:tcPr>
            <w:tcW w:type="dxa" w:w="6340"/>
            <w:vAlign w:val="center"/>
            <w:shd w:fill="F2F4F7"/>
            <w:tcMar>
              <w:top w:w="80" w:type="dxa"/>
              <w:bottom w:w="80" w:type="dxa"/>
              <w:start w:w="120" w:type="dxa"/>
              <w:end w:w="120" w:type="dxa"/>
            </w:tcMar>
          </w:tcPr>
          <w:p>
            <w:pPr>
              <w:pStyle w:val="TableHeader"/>
            </w:pPr>
            <w:r>
              <w:t>Working default for this blueprint</w:t>
            </w:r>
          </w:p>
        </w:tc>
      </w:tr>
      <w:tr>
        <w:trPr>
          <w:cantSplit/>
        </w:trPr>
        <w:tc>
          <w:tcPr>
            <w:tcW w:type="dxa" w:w="3020"/>
            <w:vAlign w:val="center"/>
            <w:tcMar>
              <w:top w:w="80" w:type="dxa"/>
              <w:bottom w:w="80" w:type="dxa"/>
              <w:start w:w="120" w:type="dxa"/>
              <w:end w:w="120" w:type="dxa"/>
            </w:tcMar>
          </w:tcPr>
          <w:p>
            <w:pPr>
              <w:pStyle w:val="TableText"/>
            </w:pPr>
            <w:r>
              <w:t>Product packaging</w:t>
            </w:r>
          </w:p>
        </w:tc>
        <w:tc>
          <w:tcPr>
            <w:tcW w:type="dxa" w:w="6340"/>
            <w:vAlign w:val="center"/>
            <w:tcMar>
              <w:top w:w="80" w:type="dxa"/>
              <w:bottom w:w="80" w:type="dxa"/>
              <w:start w:w="120" w:type="dxa"/>
              <w:end w:w="120" w:type="dxa"/>
            </w:tcMar>
          </w:tcPr>
          <w:p>
            <w:pPr>
              <w:pStyle w:val="TableText"/>
            </w:pPr>
            <w:r>
              <w:t>Distinct Dutiva workspace; shared account foundations; separate domain access</w:t>
            </w:r>
          </w:p>
        </w:tc>
      </w:tr>
      <w:tr>
        <w:trPr>
          <w:cantSplit/>
        </w:trPr>
        <w:tc>
          <w:tcPr>
            <w:tcW w:type="dxa" w:w="3020"/>
            <w:vAlign w:val="center"/>
            <w:tcMar>
              <w:top w:w="80" w:type="dxa"/>
              <w:bottom w:w="80" w:type="dxa"/>
              <w:start w:w="120" w:type="dxa"/>
              <w:end w:w="120" w:type="dxa"/>
            </w:tcMar>
          </w:tcPr>
          <w:p>
            <w:pPr>
              <w:pStyle w:val="TableText"/>
            </w:pPr>
            <w:r>
              <w:t>Initial customer</w:t>
            </w:r>
          </w:p>
        </w:tc>
        <w:tc>
          <w:tcPr>
            <w:tcW w:type="dxa" w:w="6340"/>
            <w:vAlign w:val="center"/>
            <w:tcMar>
              <w:top w:w="80" w:type="dxa"/>
              <w:bottom w:w="80" w:type="dxa"/>
              <w:start w:w="120" w:type="dxa"/>
              <w:end w:w="120" w:type="dxa"/>
            </w:tcMar>
          </w:tcPr>
          <w:p>
            <w:pPr>
              <w:pStyle w:val="TableText"/>
            </w:pPr>
            <w:r>
              <w:t>Canadian SMB / small in-house team; agency multi-client work deferred</w:t>
            </w:r>
          </w:p>
        </w:tc>
      </w:tr>
      <w:tr>
        <w:trPr>
          <w:cantSplit/>
        </w:trPr>
        <w:tc>
          <w:tcPr>
            <w:tcW w:type="dxa" w:w="3020"/>
            <w:vAlign w:val="center"/>
            <w:tcMar>
              <w:top w:w="80" w:type="dxa"/>
              <w:bottom w:w="80" w:type="dxa"/>
              <w:start w:w="120" w:type="dxa"/>
              <w:end w:w="120" w:type="dxa"/>
            </w:tcMar>
          </w:tcPr>
          <w:p>
            <w:pPr>
              <w:pStyle w:val="TableText"/>
            </w:pPr>
            <w:r>
              <w:t>Release commitment</w:t>
            </w:r>
          </w:p>
        </w:tc>
        <w:tc>
          <w:tcPr>
            <w:tcW w:type="dxa" w:w="6340"/>
            <w:vAlign w:val="center"/>
            <w:tcMar>
              <w:top w:w="80" w:type="dxa"/>
              <w:bottom w:w="80" w:type="dxa"/>
              <w:start w:w="120" w:type="dxa"/>
              <w:end w:w="120" w:type="dxa"/>
            </w:tcMar>
          </w:tcPr>
          <w:p>
            <w:pPr>
              <w:pStyle w:val="TableText"/>
            </w:pPr>
            <w:r>
              <w:t>Planning, bilingual review and manual evidence first; connectors separately gated</w:t>
            </w:r>
          </w:p>
        </w:tc>
      </w:tr>
      <w:tr>
        <w:trPr>
          <w:cantSplit/>
        </w:trPr>
        <w:tc>
          <w:tcPr>
            <w:tcW w:type="dxa" w:w="3020"/>
            <w:vAlign w:val="center"/>
            <w:tcMar>
              <w:top w:w="80" w:type="dxa"/>
              <w:bottom w:w="80" w:type="dxa"/>
              <w:start w:w="120" w:type="dxa"/>
              <w:end w:w="120" w:type="dxa"/>
            </w:tcMar>
          </w:tcPr>
          <w:p>
            <w:pPr>
              <w:pStyle w:val="TableText"/>
            </w:pPr>
            <w:r>
              <w:t>First live integration</w:t>
            </w:r>
          </w:p>
        </w:tc>
        <w:tc>
          <w:tcPr>
            <w:tcW w:type="dxa" w:w="6340"/>
            <w:vAlign w:val="center"/>
            <w:tcMar>
              <w:top w:w="80" w:type="dxa"/>
              <w:bottom w:w="80" w:type="dxa"/>
              <w:start w:w="120" w:type="dxa"/>
              <w:end w:w="120" w:type="dxa"/>
            </w:tcMar>
          </w:tcPr>
          <w:p>
            <w:pPr>
              <w:pStyle w:val="TableText"/>
            </w:pPr>
            <w:r>
              <w:t>Choose from pilot demand after validating provider permissions and costs</w:t>
            </w:r>
          </w:p>
        </w:tc>
      </w:tr>
      <w:tr>
        <w:trPr>
          <w:cantSplit/>
        </w:trPr>
        <w:tc>
          <w:tcPr>
            <w:tcW w:type="dxa" w:w="3020"/>
            <w:vAlign w:val="center"/>
            <w:tcMar>
              <w:top w:w="80" w:type="dxa"/>
              <w:bottom w:w="80" w:type="dxa"/>
              <w:start w:w="120" w:type="dxa"/>
              <w:end w:w="120" w:type="dxa"/>
            </w:tcMar>
          </w:tcPr>
          <w:p>
            <w:pPr>
              <w:pStyle w:val="TableText"/>
            </w:pPr>
            <w:r>
              <w:t>AI authority</w:t>
            </w:r>
          </w:p>
        </w:tc>
        <w:tc>
          <w:tcPr>
            <w:tcW w:type="dxa" w:w="6340"/>
            <w:vAlign w:val="center"/>
            <w:tcMar>
              <w:top w:w="80" w:type="dxa"/>
              <w:bottom w:w="80" w:type="dxa"/>
              <w:start w:w="120" w:type="dxa"/>
              <w:end w:w="120" w:type="dxa"/>
            </w:tcMar>
          </w:tcPr>
          <w:p>
            <w:pPr>
              <w:pStyle w:val="TableText"/>
            </w:pPr>
            <w:r>
              <w:t>Draft, summarize and flag; external actions remain human-authorized</w:t>
            </w:r>
          </w:p>
        </w:tc>
      </w:tr>
      <w:tr>
        <w:trPr>
          <w:cantSplit/>
        </w:trPr>
        <w:tc>
          <w:tcPr>
            <w:tcW w:type="dxa" w:w="3020"/>
            <w:vAlign w:val="center"/>
            <w:tcMar>
              <w:top w:w="80" w:type="dxa"/>
              <w:bottom w:w="80" w:type="dxa"/>
              <w:start w:w="120" w:type="dxa"/>
              <w:end w:w="120" w:type="dxa"/>
            </w:tcMar>
          </w:tcPr>
          <w:p>
            <w:pPr>
              <w:pStyle w:val="TableText"/>
            </w:pPr>
            <w:r>
              <w:t>Public affairs scope</w:t>
            </w:r>
          </w:p>
        </w:tc>
        <w:tc>
          <w:tcPr>
            <w:tcW w:type="dxa" w:w="6340"/>
            <w:vAlign w:val="center"/>
            <w:tcMar>
              <w:top w:w="80" w:type="dxa"/>
              <w:bottom w:w="80" w:type="dxa"/>
              <w:start w:w="120" w:type="dxa"/>
              <w:end w:w="120" w:type="dxa"/>
            </w:tcMar>
          </w:tcPr>
          <w:p>
            <w:pPr>
              <w:pStyle w:val="TableText"/>
            </w:pPr>
            <w:r>
              <w:t>Research, policy files, consultations and reviewable activity records; no auto-filing</w:t>
            </w:r>
          </w:p>
        </w:tc>
      </w:tr>
    </w:tbl>
    <w:p>
      <w:pPr>
        <w:pStyle w:val="TableCitation"/>
      </w:pPr>
    </w:p>
    <w:p>
      <w:pPr>
        <w:pStyle w:val="Heading2"/>
      </w:pPr>
      <w:r>
        <w:t>Next engineering deliverable</w:t>
      </w:r>
    </w:p>
    <w:p>
      <w:pPr>
        <w:keepLines/>
      </w:pPr>
      <w:r>
        <w:t>One comprehensive implementation specification, grounded in the repository, translating Phase 0 and the first Phase 1 workflow into file-level tasks and tests. Production changes, customer communications and external-account actions remain outside this blueprint’s scope.</w:t>
      </w:r>
    </w:p>
    <w:p>
      <w:pPr>
        <w:pStyle w:val="Heading1"/>
        <w:pageBreakBefore/>
      </w:pPr>
      <w:r>
        <w:t>Source register and verification limits</w:t>
      </w:r>
    </w:p>
    <w:p>
      <w:pPr>
        <w:pStyle w:val="SourceText"/>
      </w:pPr>
      <w:r>
        <w:t>Source check: 6 September 2026. Sources inform the governance section; the architecture and phased scope are product recommendations. Some official pages were available only through indexed excerpts during this review (S1, S4–S6 and S8). Revalidate primary legislation, applicable exceptions and provider requirements before implementing compliance logic or activating an external action. No legal certification is implied.</w:t>
      </w:r>
    </w:p>
    <w:p>
      <w:pPr>
        <w:pStyle w:val="SourceText"/>
      </w:pPr>
      <w:r>
        <w:t xml:space="preserve">S1 — </w:t>
      </w:r>
      <w:hyperlink r:id="rId11">
        <w:r>
          <w:rPr>
            <w:color w:val="1F4D78"/>
            <w:u w:val="single"/>
          </w:rPr>
          <w:t>CRTC — CASL frequently asked questions</w:t>
        </w:r>
      </w:hyperlink>
    </w:p>
    <w:p>
      <w:pPr>
        <w:pStyle w:val="SourceText"/>
      </w:pPr>
      <w:r>
        <w:t xml:space="preserve">S2 — </w:t>
      </w:r>
      <w:hyperlink r:id="rId12">
        <w:r>
          <w:rPr>
            <w:color w:val="1F4D78"/>
            <w:u w:val="single"/>
          </w:rPr>
          <w:t>OPC — Guidelines on privacy and online behavioural advertising</w:t>
        </w:r>
      </w:hyperlink>
    </w:p>
    <w:p>
      <w:pPr>
        <w:pStyle w:val="SourceText"/>
      </w:pPr>
      <w:r>
        <w:t xml:space="preserve">S3 — </w:t>
      </w:r>
      <w:hyperlink r:id="rId13">
        <w:r>
          <w:rPr>
            <w:color w:val="1F4D78"/>
            <w:u w:val="single"/>
          </w:rPr>
          <w:t>CAI — Principaux changements apportés par la Loi 25</w:t>
        </w:r>
      </w:hyperlink>
    </w:p>
    <w:p>
      <w:pPr>
        <w:pStyle w:val="SourceText"/>
      </w:pPr>
      <w:r>
        <w:t xml:space="preserve">S4 — </w:t>
      </w:r>
      <w:hyperlink r:id="rId14">
        <w:r>
          <w:rPr>
            <w:color w:val="1F4D78"/>
            <w:u w:val="single"/>
          </w:rPr>
          <w:t>Competition Bureau — Influencer marketing and the Competition Act</w:t>
        </w:r>
      </w:hyperlink>
    </w:p>
    <w:p>
      <w:pPr>
        <w:pStyle w:val="SourceText"/>
      </w:pPr>
      <w:r>
        <w:t xml:space="preserve">S5 — </w:t>
      </w:r>
      <w:hyperlink r:id="rId15">
        <w:r>
          <w:rPr>
            <w:color w:val="1F4D78"/>
            <w:u w:val="single"/>
          </w:rPr>
          <w:t>Competition Bureau — Performance claims not based on an adequate and proper test</w:t>
        </w:r>
      </w:hyperlink>
    </w:p>
    <w:p>
      <w:pPr>
        <w:pStyle w:val="SourceText"/>
      </w:pPr>
      <w:r>
        <w:t xml:space="preserve">S6 — </w:t>
      </w:r>
      <w:hyperlink r:id="rId16">
        <w:r>
          <w:rPr>
            <w:color w:val="1F4D78"/>
            <w:u w:val="single"/>
          </w:rPr>
          <w:t>Office of the Commissioner of Lobbying of Canada — Annual report 2025–26</w:t>
        </w:r>
      </w:hyperlink>
    </w:p>
    <w:p>
      <w:pPr>
        <w:pStyle w:val="SourceText"/>
      </w:pPr>
      <w:r>
        <w:t xml:space="preserve">S7 — </w:t>
      </w:r>
      <w:hyperlink r:id="rId17">
        <w:r>
          <w:rPr>
            <w:color w:val="1F4D78"/>
            <w:u w:val="single"/>
          </w:rPr>
          <w:t>Integrity Commissioner of Ontario — Types of lobbyists</w:t>
        </w:r>
      </w:hyperlink>
    </w:p>
    <w:p>
      <w:pPr>
        <w:pStyle w:val="SourceText"/>
      </w:pPr>
      <w:r>
        <w:t xml:space="preserve">S8 — </w:t>
      </w:r>
      <w:hyperlink r:id="rId18">
        <w:r>
          <w:rPr>
            <w:color w:val="1F4D78"/>
            <w:u w:val="single"/>
          </w:rPr>
          <w:t>Québec — Loi sur la transparence et l’éthique en matière de lobbyisme</w:t>
        </w:r>
      </w:hyperlink>
    </w:p>
    <w:p>
      <w:pPr>
        <w:pStyle w:val="SourceText"/>
      </w:pPr>
      <w:r>
        <w:t xml:space="preserve">S9 — </w:t>
      </w:r>
      <w:hyperlink r:id="rId19">
        <w:r>
          <w:rPr>
            <w:color w:val="1F4D78"/>
            <w:u w:val="single"/>
          </w:rPr>
          <w:t>OQLF — Médias sociaux, sites Web et documents publicitaires</w:t>
        </w:r>
      </w:hyperlink>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v0.1  |  6 September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DUTIVA  |  PRODUCT FOUNDATION  |  WORKING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60">
    <w:multiLevelType w:val="singleLevel"/>
    <w:lvl w:ilvl="0">
      <w:start w:val="1"/>
      <w:numFmt w:val="bullet"/>
      <w:lvlText w:val="•"/>
      <w:lvlJc w:val="left"/>
      <w:pPr>
        <w:tabs>
          <w:tab w:val="num" w:pos="720"/>
        </w:tabs>
        <w:ind w:left="720" w:hanging="360"/>
        <w:spacing w:before="0" w:after="160" w:line="280" w:lineRule="auto"/>
      </w:pPr>
    </w:lvl>
  </w:abstractNum>
  <w:num w:numId="60">
    <w:abstractNumId w:val="60"/>
  </w:num>
  <w:abstractNum w:abstractNumId="61">
    <w:multiLevelType w:val="singleLevel"/>
    <w:lvl w:ilvl="0">
      <w:start w:val="1"/>
      <w:numFmt w:val="decimal"/>
      <w:lvlText w:val="%1."/>
      <w:lvlJc w:val="left"/>
      <w:pPr>
        <w:tabs>
          <w:tab w:val="num" w:pos="720"/>
        </w:tabs>
        <w:ind w:left="720" w:hanging="360"/>
        <w:spacing w:before="0" w:after="160" w:line="280" w:lineRule="auto"/>
      </w:pPr>
    </w:lvl>
  </w:abstractNum>
  <w:num w:numId="61">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eastAsia="Calibri" w:cs="Calibri"/>
      <w:b w:val="0"/>
      <w:i w:val="0"/>
      <w:color w:val="222222"/>
      <w:sz w:val="22"/>
      <w:lang w:val="en-CA"/>
    </w:rPr>
  </w:style>
  <w:style w:type="paragraph" w:styleId="Header">
    <w:name w:val="header"/>
    <w:basedOn w:val="Normal"/>
    <w:link w:val="HeaderChar"/>
    <w:uiPriority w:val="99"/>
    <w:unhideWhenUsed/>
    <w:rsid w:val="00E618BF"/>
    <w:pPr>
      <w:widowControl/>
      <w:tabs>
        <w:tab w:val="center" w:pos="4680"/>
        <w:tab w:val="right" w:pos="9360"/>
      </w:tabs>
      <w:spacing w:after="0" w:line="264" w:lineRule="auto" w:before="0"/>
    </w:pPr>
    <w:rPr>
      <w:rFonts w:ascii="Calibri" w:hAnsi="Calibri" w:eastAsia="Calibri" w:cs="Calibri"/>
      <w:b w:val="0"/>
      <w:i w:val="0"/>
      <w:color w:val="666666"/>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64" w:lineRule="auto" w:before="0"/>
    </w:pPr>
    <w:rPr>
      <w:rFonts w:ascii="Calibri" w:hAnsi="Calibri" w:eastAsia="Calibri" w:cs="Calibri"/>
      <w:b w:val="0"/>
      <w:i w:val="0"/>
      <w:color w:val="666666"/>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line="264" w:lineRule="auto"/>
      <w:outlineLvl w:val="0"/>
    </w:pPr>
    <w:rPr>
      <w:rFonts w:asciiTheme="majorHAnsi" w:eastAsiaTheme="majorEastAsia" w:hAnsiTheme="majorHAnsi" w:cstheme="majorBidi" w:ascii="Calibri" w:hAnsi="Calibri" w:eastAsia="Calibri" w:cs="Calibri"/>
      <w:b/>
      <w:bCs/>
      <w:i w:val="0"/>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64" w:lineRule="auto"/>
      <w:outlineLvl w:val="1"/>
    </w:pPr>
    <w:rPr>
      <w:rFonts w:asciiTheme="majorHAnsi" w:eastAsiaTheme="majorEastAsia" w:hAnsiTheme="majorHAnsi" w:cstheme="majorBidi" w:ascii="Calibri" w:hAnsi="Calibri" w:eastAsia="Calibri" w:cs="Calibri"/>
      <w:b/>
      <w:bCs/>
      <w:i w:val="0"/>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line="264" w:lineRule="auto"/>
      <w:outlineLvl w:val="2"/>
    </w:pPr>
    <w:rPr>
      <w:rFonts w:asciiTheme="majorHAnsi" w:eastAsiaTheme="majorEastAsia" w:hAnsiTheme="majorHAnsi" w:cstheme="majorBidi" w:ascii="Calibri" w:hAnsi="Calibri" w:eastAsia="Calibri" w:cs="Calibri"/>
      <w:b/>
      <w:bCs/>
      <w:i w:val="0"/>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00" w:line="264" w:lineRule="auto" w:before="0"/>
      <w:contextualSpacing/>
    </w:pPr>
    <w:rPr>
      <w:rFonts w:asciiTheme="majorHAnsi" w:eastAsiaTheme="majorEastAsia" w:hAnsiTheme="majorHAnsi" w:cstheme="majorBidi" w:ascii="Calibri" w:hAnsi="Calibri" w:eastAsia="Calibri" w:cs="Calibri"/>
      <w:b/>
      <w:i w:val="0"/>
      <w:color w:val="0B2545"/>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200" w:line="264" w:lineRule="auto"/>
    </w:pPr>
    <w:rPr>
      <w:rFonts w:asciiTheme="majorHAnsi" w:eastAsiaTheme="majorEastAsia" w:hAnsiTheme="majorHAnsi" w:cstheme="majorBidi" w:ascii="Calibri" w:hAnsi="Calibri" w:eastAsia="Calibri" w:cs="Calibri"/>
      <w:b w:val="0"/>
      <w:i w:val="0"/>
      <w:iCs/>
      <w:color w:val="55555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data">
    <w:name w:val="Metadata"/>
    <w:pPr>
      <w:widowControl/>
      <w:spacing w:before="0" w:after="40" w:line="264" w:lineRule="auto"/>
    </w:pPr>
    <w:rPr>
      <w:rFonts w:ascii="Calibri" w:hAnsi="Calibri" w:eastAsia="Calibri" w:cs="Calibri"/>
      <w:b w:val="0"/>
      <w:i w:val="0"/>
      <w:color w:val="555555"/>
      <w:sz w:val="19"/>
    </w:rPr>
  </w:style>
  <w:style w:type="paragraph" w:customStyle="1" w:styleId="TableText">
    <w:name w:val="TableText"/>
    <w:pPr>
      <w:widowControl/>
      <w:spacing w:before="0" w:after="80" w:line="264" w:lineRule="auto"/>
    </w:pPr>
    <w:rPr>
      <w:rFonts w:ascii="Calibri" w:hAnsi="Calibri" w:eastAsia="Calibri" w:cs="Calibri"/>
      <w:b w:val="0"/>
      <w:i w:val="0"/>
      <w:color w:val="222222"/>
      <w:sz w:val="19"/>
    </w:rPr>
  </w:style>
  <w:style w:type="paragraph" w:customStyle="1" w:styleId="TableHeader">
    <w:name w:val="TableHeader"/>
    <w:pPr>
      <w:widowControl/>
      <w:spacing w:before="0" w:after="80" w:line="264" w:lineRule="auto"/>
    </w:pPr>
    <w:rPr>
      <w:rFonts w:ascii="Calibri" w:hAnsi="Calibri" w:eastAsia="Calibri" w:cs="Calibri"/>
      <w:b/>
      <w:i w:val="0"/>
      <w:color w:val="222222"/>
      <w:sz w:val="19"/>
    </w:rPr>
  </w:style>
  <w:style w:type="paragraph" w:customStyle="1" w:styleId="SourceText">
    <w:name w:val="SourceText"/>
    <w:pPr>
      <w:widowControl/>
      <w:spacing w:before="0" w:after="100" w:line="264" w:lineRule="auto"/>
    </w:pPr>
    <w:rPr>
      <w:rFonts w:ascii="Calibri" w:hAnsi="Calibri" w:eastAsia="Calibri" w:cs="Calibri"/>
      <w:b w:val="0"/>
      <w:i w:val="0"/>
      <w:color w:val="444444"/>
      <w:sz w:val="19"/>
    </w:rPr>
  </w:style>
  <w:style w:type="paragraph" w:customStyle="1" w:styleId="TableCitation">
    <w:name w:val="TableCitation"/>
    <w:pPr>
      <w:widowControl/>
      <w:spacing w:before="80" w:after="80" w:line="264" w:lineRule="auto"/>
    </w:pPr>
    <w:rPr>
      <w:rFonts w:ascii="Calibri" w:hAnsi="Calibri" w:eastAsia="Calibri" w:cs="Calibri"/>
      <w:b w:val="0"/>
      <w:i w:val="0"/>
      <w:color w:val="555555"/>
      <w:sz w:val="19"/>
    </w:rPr>
  </w:style>
  <w:style w:type="paragraph" w:customStyle="1" w:styleId="Callout">
    <w:name w:val="Callout"/>
    <w:pPr>
      <w:widowControl/>
      <w:spacing w:before="80" w:after="160" w:line="264" w:lineRule="auto"/>
    </w:pPr>
    <w:rPr>
      <w:rFonts w:ascii="Calibri" w:hAnsi="Calibri" w:eastAsia="Calibri" w:cs="Calibri"/>
      <w:b/>
      <w:i w:val="0"/>
      <w:color w:val="0B2545"/>
      <w:sz w:val="22"/>
    </w:rPr>
  </w:style>
  <w:style w:type="paragraph" w:customStyle="1" w:styleId="BlueprintBullet">
    <w:name w:val="BlueprintBullet"/>
    <w:pPr>
      <w:widowControl/>
      <w:spacing w:before="0" w:after="160" w:line="280" w:lineRule="auto"/>
      <w:ind w:left="720" w:hanging="360"/>
      <w:numPr>
        <w:ilvl w:val="0"/>
        <w:numId w:val="60"/>
      </w:numPr>
    </w:pPr>
    <w:rPr>
      <w:rFonts w:ascii="Calibri" w:hAnsi="Calibri" w:eastAsia="Calibri" w:cs="Calibri"/>
      <w:b w:val="0"/>
      <w:i w:val="0"/>
      <w:color w:val="222222"/>
      <w:sz w:val="22"/>
    </w:rPr>
  </w:style>
  <w:style w:type="paragraph" w:customStyle="1" w:styleId="BlueprintNumber">
    <w:name w:val="BlueprintNumber"/>
    <w:pPr>
      <w:widowControl/>
      <w:spacing w:before="0" w:after="160" w:line="280" w:lineRule="auto"/>
      <w:ind w:left="720" w:hanging="360"/>
      <w:numPr>
        <w:ilvl w:val="0"/>
        <w:numId w:val="61"/>
      </w:numPr>
    </w:pPr>
    <w:rPr>
      <w:rFonts w:ascii="Calibri" w:hAnsi="Calibri" w:eastAsia="Calibri" w:cs="Calibri"/>
      <w:b w:val="0"/>
      <w:i w:val="0"/>
      <w:color w:val="222222"/>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crtc.gc.ca/eng/com500/faq500.htm" TargetMode="External"/><Relationship Id="rId12" Type="http://schemas.openxmlformats.org/officeDocument/2006/relationships/hyperlink" Target="https://www.priv.gc.ca/en/privacy-topics/technology/online-privacy-tracking-cookies/tracking-and-ads/gl_ba_1112/" TargetMode="External"/><Relationship Id="rId13" Type="http://schemas.openxmlformats.org/officeDocument/2006/relationships/hyperlink" Target="https://www.cai.gouv.qc.ca/protection-renseignements-personnels/sujets-et-domaines-dinteret/principaux-changements-loi-25" TargetMode="External"/><Relationship Id="rId14" Type="http://schemas.openxmlformats.org/officeDocument/2006/relationships/hyperlink" Target="https://competition-bureau.canada.ca/en/deceptive-marketing-practices/types-deceptive-marketing-practices/influencer-marketing-and-competition-act" TargetMode="External"/><Relationship Id="rId15" Type="http://schemas.openxmlformats.org/officeDocument/2006/relationships/hyperlink" Target="https://competition-bureau.canada.ca/en/deceptive-marketing-practices/types-deceptive-marketing-practices/performance-claims-not-based-adequate-and-proper-test" TargetMode="External"/><Relationship Id="rId16" Type="http://schemas.openxmlformats.org/officeDocument/2006/relationships/hyperlink" Target="https://publications.gc.ca/collections/collection_2026/cal-ocl/Lo1-2026-eng.pdf" TargetMode="External"/><Relationship Id="rId17" Type="http://schemas.openxmlformats.org/officeDocument/2006/relationships/hyperlink" Target="https://www.oico.on.ca/en/lobbyists-registration-types-of-lobbyists" TargetMode="External"/><Relationship Id="rId18" Type="http://schemas.openxmlformats.org/officeDocument/2006/relationships/hyperlink" Target="https://www.legisquebec.gouv.qc.ca/fr/document/lc/T-11.011" TargetMode="External"/><Relationship Id="rId19" Type="http://schemas.openxmlformats.org/officeDocument/2006/relationships/hyperlink" Target="https://www.oqlf.gouv.qc.ca/francisation/entreprises/memo-assistant-francisation/publications/fiche-medias-sociaux-sites-web-doc-publicitaire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Dutiva Communications Platform — Product Foundation</dc:title>
  <dc:subject>Proposed scope, shared architecture, governance, and phased implementation</dc:subject>
  <dc:creator>Dutiva Canada Inc.</dc:creator>
  <cp:keywords>PR, communications, social media, public affairs, marketing, advertising, IMC, CMI</cp:keywords>
  <dc:description>Planning draft v0.1; not a repository audit or legal opinion.</dc:description>
  <cp:lastModifiedBy/>
  <cp:revision>1</cp:revision>
  <dcterms:created xsi:type="dcterms:W3CDTF">2026-09-06T00:00:00Z</dcterms:created>
  <dcterms:modified xsi:type="dcterms:W3CDTF">2013-12-23T23:15:00Z</dcterms:modified>
  <cp:category/>
</cp:coreProperties>
</file>