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rPr>
          <w:b/>
        </w:rPr>
        <w:t>Databricks Interview Preparation Pack</w:t>
      </w:r>
    </w:p>
    <w:p>
      <w:pPr>
        <w:pStyle w:val="CustomSubTitle"/>
        <w:spacing w:before="0" w:after="200" w:line="276" w:lineRule="auto"/>
        <w:jc w:val="center"/>
      </w:pPr>
      <w:r>
        <w:t>Refined, interview-ready responses in clear language, based on your project experience across Canopius and Vanquis.</w:t>
      </w:r>
    </w:p>
    <w:tbl>
      <w:tblPr>
        <w:tblW w:type="auto" w:w="0"/>
        <w:jc w:val="center"/>
        <w:tblLayout w:type="fixed"/>
        <w:tblLook w:firstColumn="1" w:firstRow="1" w:lastColumn="0" w:lastRow="0" w:noHBand="0" w:noVBand="1" w:val="04A0"/>
      </w:tblPr>
      <w:tblGrid>
        <w:gridCol w:w="9792"/>
      </w:tblGrid>
      <w:tr>
        <w:tc>
          <w:tcPr>
            <w:tcW w:type="dxa" w:w="9936"/>
            <w:shd w:fill="EEF4FB"/>
            <w:tcMar>
              <w:top w:w="120" w:type="dxa"/>
              <w:start w:w="140" w:type="dxa"/>
              <w:bottom w:w="120" w:type="dxa"/>
              <w:end w:w="140" w:type="dxa"/>
            </w:tcMar>
            <w:vAlign w:val="center"/>
          </w:tcPr>
          <w:p>
            <w:pPr>
              <w:pStyle w:val="AnswerBody"/>
              <w:spacing w:before="0" w:after="0" w:line="276" w:lineRule="auto"/>
            </w:pPr>
            <w:r>
              <w:rPr>
                <w:b/>
              </w:rPr>
              <w:t xml:space="preserve">How to use this pack: </w:t>
            </w:r>
            <w:r>
              <w:t>Use the “Tell your story” section as your opening pitch. Use the “Project deep-dive” section for follow-up questions. Use the STAR answers for behavioural rounds. The wording is designed to sound senior, clear, and technically grounded without becoming overly scripted.</w:t>
            </w:r>
          </w:p>
        </w:tc>
      </w:tr>
    </w:tbl>
    <w:p>
      <w:pPr>
        <w:pStyle w:val="SectionHeading"/>
        <w:spacing w:before="200" w:after="80" w:line="276" w:lineRule="auto"/>
      </w:pPr>
      <w:r>
        <w:t>1. Tell Your Story</w:t>
      </w:r>
    </w:p>
    <w:p>
      <w:pPr>
        <w:pStyle w:val="AnswerBody"/>
        <w:spacing w:before="0" w:after="80" w:line="276" w:lineRule="auto"/>
      </w:pPr>
      <w:r>
        <w:t xml:space="preserve">I am a Senior Data &amp; AI Lead with around 19 years of experience designing and delivering enterprise-scale data platforms across banking, financial services, and insurance. My core strength is taking complex business and data challenges and turning them into scalable, production-ready solutions on Azure and Databricks. </w:t>
      </w:r>
      <w:r>
        <w:t>Over the last few years, my role has evolved from hands-on data engineering into broader solution architecture and platform leadership. That means I now spend as much time shaping architecture, delivery models, governance, and stakeholder alignment as I do on the technical implementation itself.</w:t>
      </w:r>
    </w:p>
    <w:p>
      <w:pPr>
        <w:pStyle w:val="ListBullet"/>
        <w:spacing w:before="0" w:after="20" w:line="276" w:lineRule="auto"/>
      </w:pPr>
      <w:r>
        <w:t>In my current role at Canopius, I have been leading the modernisation of legacy systems into a cloud-native Lakehouse-style platform, delivering data products that support underwriting, actuarial, finance, risk, and reporting teams.</w:t>
      </w:r>
    </w:p>
    <w:p>
      <w:pPr>
        <w:pStyle w:val="ListBullet"/>
        <w:spacing w:before="0" w:after="20" w:line="276" w:lineRule="auto"/>
      </w:pPr>
      <w:r>
        <w:t>A large part of my role has been to improve platform maturity, including governance, data quality, observability, deployment discipline, and long-term maintainability, not just pipeline delivery.</w:t>
      </w:r>
    </w:p>
    <w:p>
      <w:pPr>
        <w:pStyle w:val="ListBullet"/>
        <w:spacing w:before="0" w:after="20" w:line="276" w:lineRule="auto"/>
      </w:pPr>
      <w:r>
        <w:t>Alongside this, I have been actively exploring how Generative AI can be applied within enterprise data platforms, including Azure OpenAI-driven use cases that enhance decision intelligence and workflow automation.</w:t>
      </w:r>
    </w:p>
    <w:p>
      <w:pPr>
        <w:pStyle w:val="ListBullet"/>
        <w:spacing w:before="0" w:after="20" w:line="276" w:lineRule="auto"/>
      </w:pPr>
      <w:r>
        <w:t>What I enjoy most is acting as the bridge between business and engineering: translating business requirements into architecture, guiding engineering teams, and helping stakeholders understand both the technical choices and the business value behind them.</w:t>
      </w:r>
    </w:p>
    <w:p>
      <w:pPr>
        <w:pStyle w:val="ListBullet"/>
        <w:spacing w:before="0" w:after="20" w:line="276" w:lineRule="auto"/>
      </w:pPr>
      <w:r>
        <w:t>I am now looking to move further into Applied AI and customer-facing architecture roles where I can combine my enterprise platform background with GenAI, helping organisations design, evaluate, and scale LLM-based solutions in a safe and practical way.</w:t>
      </w:r>
    </w:p>
    <w:p>
      <w:pPr>
        <w:pStyle w:val="SectionHeading"/>
        <w:spacing w:before="200" w:after="80" w:line="276" w:lineRule="auto"/>
      </w:pPr>
      <w:r>
        <w:t>2. Recent Project You Can Be Proud Of</w:t>
      </w:r>
    </w:p>
    <w:p>
      <w:pPr>
        <w:pStyle w:val="SubHeading"/>
        <w:spacing w:before="80" w:after="20" w:line="276" w:lineRule="auto"/>
      </w:pPr>
      <w:r>
        <w:t>Project summary</w:t>
      </w:r>
    </w:p>
    <w:p>
      <w:pPr>
        <w:pStyle w:val="AnswerBody"/>
        <w:spacing w:before="0" w:after="80" w:line="276" w:lineRule="auto"/>
      </w:pPr>
      <w:r>
        <w:t>A strong project to highlight is the Canopius data platform transformation, where you helped modernise a fragmented legacy estate into a unified Azure–Databricks platform. The programme involved consolidating siloed systems, introducing governed data products, improving platform performance, and enabling broader business adoption across underwriting, actuarial, finance, risk, and claims.</w:t>
      </w:r>
    </w:p>
    <w:p>
      <w:pPr>
        <w:pStyle w:val="SubHeading"/>
        <w:spacing w:before="80" w:after="20" w:line="276" w:lineRule="auto"/>
      </w:pPr>
      <w:r>
        <w:t>How you designed the architecture</w:t>
      </w:r>
    </w:p>
    <w:p>
      <w:pPr>
        <w:pStyle w:val="AnswerBody"/>
        <w:spacing w:before="0" w:after="80" w:line="276" w:lineRule="auto"/>
      </w:pPr>
      <w:r>
        <w:t>You approached it as both a technical and operating-model transformation. Architecturally, you defined a Lakehouse-oriented target state using Databricks, Delta-based processing patterns, cloud-native storage, reusable ingestion and transformation frameworks, and production-ready deployment practices. You also embedded governance, observability, and quality controls into the platform foundation rather than treating them as later add-ons.</w:t>
      </w:r>
    </w:p>
    <w:p>
      <w:pPr>
        <w:pStyle w:val="SubHeading"/>
        <w:spacing w:before="80" w:after="20" w:line="276" w:lineRule="auto"/>
      </w:pPr>
      <w:r>
        <w:t>Challenges you faced</w:t>
      </w:r>
    </w:p>
    <w:p>
      <w:pPr>
        <w:pStyle w:val="AnswerBody"/>
        <w:spacing w:before="0" w:after="80" w:line="276" w:lineRule="auto"/>
      </w:pPr>
      <w:r>
        <w:t>The main challenges were fragmented legacy systems, duplicated logic, inconsistent delivery patterns, and differing stakeholder priorities. You also had to balance the pressure for quick delivery with the need to create a scalable and supportable enterprise platform.</w:t>
      </w:r>
    </w:p>
    <w:p>
      <w:pPr>
        <w:pStyle w:val="SubHeading"/>
        <w:spacing w:before="80" w:after="20" w:line="276" w:lineRule="auto"/>
      </w:pPr>
      <w:r>
        <w:t>How you influenced stakeholders</w:t>
      </w:r>
    </w:p>
    <w:p>
      <w:pPr>
        <w:pStyle w:val="AnswerBody"/>
        <w:spacing w:before="0" w:after="80" w:line="276" w:lineRule="auto"/>
      </w:pPr>
      <w:r>
        <w:t>You reframed the conversation from technology choices to business outcomes and delivery risk. You used architecture and whiteboarding sessions to explain how standardisation, governance, and a Databricks-based platform would improve reliability, time to insight, and long-term delivery efficiency.</w:t>
      </w:r>
    </w:p>
    <w:p>
      <w:pPr>
        <w:pStyle w:val="SubHeading"/>
        <w:spacing w:before="80" w:after="20" w:line="276" w:lineRule="auto"/>
      </w:pPr>
      <w:r>
        <w:t>How you would design it differently today</w:t>
      </w:r>
    </w:p>
    <w:p>
      <w:pPr>
        <w:pStyle w:val="AnswerBody"/>
        <w:spacing w:before="0" w:after="80" w:line="276" w:lineRule="auto"/>
      </w:pPr>
      <w:r>
        <w:t>Today, you would invest even earlier in usage-pattern discovery, platform guardrails, and data contracts. You would be more explicit upfront about which legacy behaviours should be preserved and which should be redesigned, to avoid carrying unnecessary complexity into the target platform.</w:t>
      </w:r>
    </w:p>
    <w:p>
      <w:pPr>
        <w:pStyle w:val="SubHeading"/>
        <w:spacing w:before="80" w:after="20" w:line="276" w:lineRule="auto"/>
      </w:pPr>
      <w:r>
        <w:t>Have you worked with GenAI or ML on Databricks?</w:t>
      </w:r>
    </w:p>
    <w:p>
      <w:pPr>
        <w:pStyle w:val="AnswerBody"/>
        <w:spacing w:before="0" w:after="80" w:line="276" w:lineRule="auto"/>
      </w:pPr>
      <w:r>
        <w:t>Yes. Your recent work has included exploring GenAI use cases within enterprise data platforms, including Azure OpenAI-led decision intelligence and automation patterns. A good interview framing is that you already understand the data platform, governance, and operational side required for AI solutions, and you are extending that foundation into applied GenAI and LLM-driven solutions.</w:t>
      </w:r>
    </w:p>
    <w:p>
      <w:pPr>
        <w:pStyle w:val="SectionHeading"/>
        <w:spacing w:before="200" w:after="80" w:line="276" w:lineRule="auto"/>
      </w:pPr>
      <w:r>
        <w:t>3. Behavioural Interview Answers (STAR Format)</w:t>
      </w:r>
    </w:p>
    <w:p>
      <w:pPr>
        <w:pStyle w:val="AnswerBody"/>
        <w:spacing w:before="0" w:after="120" w:line="276" w:lineRule="auto"/>
      </w:pPr>
      <w:r>
        <w:t>Each answer below is written in a more lucid, comprehensive style so it can be used for revision or copied into a job interview preparation document.</w:t>
      </w:r>
    </w:p>
    <w:p>
      <w:pPr>
        <w:pStyle w:val="SubHeading"/>
        <w:spacing w:before="160" w:after="40" w:line="276" w:lineRule="auto"/>
      </w:pPr>
      <w:r>
        <w:t>Tell me about a time you led a complex migration or modernisation.</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Canopius, the data estate was spread across multiple siloed legacy systems supporting underwriting, actuarial, finance, risk, and claims. This fragmentation created duplicated logic, inconsistent data access patterns, and heavy operational overhead. It also limited the organisation’s ability to scale analytics and data product delivery across business domains.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was responsible for helping lead the architectural and delivery strategy to modernise the platform, migrate legacy applications, and create governed data products that would improve performance, reliability, and maintainability for multiple stakeholder groups.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approached the initiative as both a technical transformation and a change in delivery operating model. I helped define the target Lakehouse architecture on Databricks using Delta-oriented processing, cloud-native storage, standardised ingestion and transformation frameworks, and production-ready deployment practices. I also introduced reusable patterns so the team would not create one-off pipelines for each source system, and I embedded governance, observability, and quality controls into the platform foundation. Alongside that, I worked closely with business and engineering stakeholders to prioritise workloads in a way that balanced short-term needs with a sustainable long-term target state.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programme migrated more than 15 legacy applications into governed, scalable data products, reduced processing time by around 60–70%, improved data accessibility and cross-domain collaboration, and enabled around 50 users to consume data more effectively from the new cloud platform.</w:t>
            </w:r>
          </w:p>
        </w:tc>
      </w:tr>
    </w:tbl>
    <w:p/>
    <w:p>
      <w:pPr>
        <w:pStyle w:val="SubHeading"/>
        <w:spacing w:before="160" w:after="40" w:line="276" w:lineRule="auto"/>
      </w:pPr>
      <w:r>
        <w:t>Tell me about a time you redesigned an architecture to improve scalability and performance.</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Vanquis, parts of the VCAP-related data platform were still dependent on HDInsight and Hadoop ecosystem components such as Hive, HDFS, YARN, and NiFi. While the environment was functional, it created significant operational overhead and made it harder to scale new lending and affordability use cases efficiently.</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My role was to help redesign the architecture into a more Azure-native operating model, not just to migrate workloads, but to improve scalability, simplify support, and make the platform easier to extend for downstream analytics and decisioning use cases.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analysed the main operational and architectural bottlenecks and helped move the design toward Azure services such as Data Factory for orchestration, Azure storage for the data layer, and Azure Functions and Service Bus for cloud-native integration where appropriate. The core architectural shift was to reduce dependency on infrastructure-heavy Hadoop administration and move toward more modular and reusable pipeline patterns that separated business logic from platform complexity.</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resulting architecture was easier to maintain, more scalable, and better aligned to Azure-native delivery. It improved delivery speed for downstream analytics and lending workloads while reducing dependency on the legacy HDInsight operating model.</w:t>
            </w:r>
          </w:p>
        </w:tc>
      </w:tr>
    </w:tbl>
    <w:p/>
    <w:p>
      <w:pPr>
        <w:pStyle w:val="SubHeading"/>
        <w:spacing w:before="160" w:after="40" w:line="276" w:lineRule="auto"/>
      </w:pPr>
      <w:r>
        <w:t>Tell me about a time you improved delivery efficiency through engineering standards or reusable frameworks.</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In the Canopius Data Products programme, one of the recurring risks was that different teams could begin building pipelines and deployment patterns in inconsistent ways. That would have made the platform harder to scale and support over time.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needed to reduce delivery friction, improve consistency across the platform, and make it easier for engineers to build new data products without repeatedly solving the same engineering problems.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introduced standardised approaches across ingestion, transformation, deployment, and operational support. This included reusable frameworks, shared components, and common conventions for CI/CD, release structure, operational readiness, and platform guardrails. I also spent time socialising those standards with the engineering team through design discussions and mentoring so they were adopted because they were useful and practical, not just because they were mandated.</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This improved delivery efficiency and platform scalability, reduced variability in how solutions were built, and made the platform easier to maintain and operate over time.</w:t>
            </w:r>
          </w:p>
        </w:tc>
      </w:tr>
    </w:tbl>
    <w:p/>
    <w:p>
      <w:pPr>
        <w:pStyle w:val="SubHeading"/>
        <w:spacing w:before="160" w:after="40" w:line="276" w:lineRule="auto"/>
      </w:pPr>
      <w:r>
        <w:t>Tell me about a time you solved a difficult data integration problem.</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Vanquis Bank, the Single Bureau initiative aimed to consolidate data from multiple Credit Reference Agencies into a centralised bureau dataset sourced from Experian. The business needed trusted, high-quality data to support lending decisions, provisioning models, and analytics use cases.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My responsibility was to help design and deliver an Azure-based platform capability that could ingest, standardise, and make Experian data usable for analytics and data science teams within a broader metadata-driven architecture.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worked across a stack that included Azure Databricks, PySpark, Azure Data Factory, Azure Functions, ADLS, Synapse, Event Grid, DevOps, and SQL Server. I focused on making the solution maintainable and scalable rather than a brittle point integration. That meant designing for metadata-driven orchestration, reusable transformation logic, downstream accessibility, and future extensibility as new bureau-related requirements emerged.</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solution enabled Data Science and Analytics teams to access Experian Galaxy data for exploratory analysis and strategic decision-making, supporting stronger lending and financial modelling use cases.</w:t>
            </w:r>
          </w:p>
        </w:tc>
      </w:tr>
    </w:tbl>
    <w:p/>
    <w:p>
      <w:pPr>
        <w:pStyle w:val="SubHeading"/>
        <w:spacing w:before="160" w:after="40" w:line="276" w:lineRule="auto"/>
      </w:pPr>
      <w:r>
        <w:t>Tell me about a time you influenced stakeholders.</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Canopius, we were modernising a fragmented legacy data landscape into a unified Azure–Databricks platform. The challenge involved multiple stakeholder groups across underwriting, actuarial, finance, risk, and claims, all with different priorities.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needed to influence both business and technical stakeholders to support a more standardised and scalable platform approach rather than a collection of quick tactical fixes.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shifted the discussion from technology preference to business outcome and delivery risk. I used architecture and whiteboarding sessions to explain how standardisation, governance, reusable deployment patterns, and a Lakehouse-style architecture would improve reliability, reduce duplication, and support faster long-term delivery. I also tailored the message depending on the audience: business stakeholders cared about trust, speed, and usability; technical stakeholders cared about scalability, consistency, and supportability.</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I gained stakeholder buy-in for a broader Azure–Databricks platform direction, which supported stronger adoption across business units and helped establish the platform as a trusted foundation for enterprise data products.</w:t>
            </w:r>
          </w:p>
        </w:tc>
      </w:tr>
    </w:tbl>
    <w:p/>
    <w:p>
      <w:pPr>
        <w:pStyle w:val="SubHeading"/>
        <w:spacing w:before="160" w:after="40" w:line="276" w:lineRule="auto"/>
      </w:pPr>
      <w:r>
        <w:t>Tell me about a failure, or a time when architecture initially went wrong.</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During the Vanquis HDInsight-to-Azure modernisation, parts of the platform still carried structural assumptions from the legacy Hadoop environment.</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was helping redesign the platform to become more Azure-native, scalable, and easier to support for downstream lending and affordability workloads.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Early on, one architectural mistake was treating too much of the migration as a technology replacement exercise rather than a service model redesign. That meant we initially preserved more of the legacy platform dependency structure than we should have. The solution still worked, but it retained unnecessary coupling between ingestion, platform operations, and downstream processing. Once I recognised that, I helped shift the architecture toward a more modular Azure-native pattern, using Data Factory for orchestration, Azure storage for the data layer, and Azure Functions and Service Bus where appropriate. I also became much more deliberate about asking which legacy responsibilities genuinely needed to survive in the target state.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corrected architecture was more scalable, easier to support, and better aligned to Azure-native delivery. The biggest lesson I took away was that migrations go wrong when teams move components without redesigning responsibilities.</w:t>
            </w:r>
          </w:p>
        </w:tc>
      </w:tr>
    </w:tbl>
    <w:p/>
    <w:p>
      <w:pPr>
        <w:pStyle w:val="SubHeading"/>
        <w:spacing w:before="160" w:after="40" w:line="276" w:lineRule="auto"/>
      </w:pPr>
      <w:r>
        <w:t>Why would you like to join Databricks?</w:t>
      </w:r>
    </w:p>
    <w:p>
      <w:pPr>
        <w:pStyle w:val="AnswerBody"/>
        <w:spacing w:before="0" w:after="80" w:line="276" w:lineRule="auto"/>
      </w:pPr>
      <w:r>
        <w:t>I see Databricks as a natural next step because it sits at the intersection of the three areas I have been building toward for years: large-scale data platforms, cloud modernisation, and applied AI. In my recent work I have helped modernise legacy systems into Azure–Databricks platforms, improve governance and production readiness, and support stakeholder adoption. What appeals to me about Databricks is the chance to do that at broader scale on a platform that is genuinely shaping how organisations bring data, governance, and AI together. I am also attracted by the Solutions Architect path because it combines technical depth, customer impact, and the opportunity to help customers solve real business problems through strong platform design.</w:t>
      </w:r>
    </w:p>
    <w:p>
      <w:pPr>
        <w:pStyle w:val="SubHeading"/>
        <w:spacing w:before="160" w:after="40" w:line="276" w:lineRule="auto"/>
      </w:pPr>
      <w:r>
        <w:t>Tell me about a time you handled architecture trade-offs between short-term delivery and long-term scalability.</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Canopius, while working on the Insight Data Platform, there was strong pressure from the business to deliver data products quickly for actuarial, underwriting, and reporting use cases. At the same time, the platform was growing, and inconsistent delivery patterns would have created operational issues over time.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had to keep delivery moving in the short term while protecting long-term scalability, maintainability, and release discipline.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decided to push toward a more standardised deployment model using Databricks Asset Bundles, even though it required more upfront effort than manual deployment approaches. My reasoning was that the platform needed repeatable promotion across environments, cleaner configuration management, and lower operational risk. To balance the pressure for speed, I ensured priority workloads still moved forward, but I made sure that the delivery patterns being established were reusable rather than tactical one-offs.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This gave the programme a more scalable and repeatable Databricks delivery model. It reduced the risk of environment drift, improved deployment consistency, and strengthened CI/CD alignment as the platform grew.</w:t>
            </w:r>
          </w:p>
        </w:tc>
      </w:tr>
    </w:tbl>
    <w:p/>
    <w:p>
      <w:pPr>
        <w:pStyle w:val="SubHeading"/>
        <w:spacing w:before="160" w:after="40" w:line="276" w:lineRule="auto"/>
      </w:pPr>
      <w:r>
        <w:t>Tell me about a time you led teams through a technically challenging delivery.</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Canopius, the Insight Data Platform supported actuarial modelling, underwriting decisions, and regulatory reporting. As part of that programme, we had to migrate the analytics environment from Azure Synapse-oriented patterns to a Databricks Lakehouse architecture.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needed to help lead the team through the migration without disrupting critical workloads, while also ensuring the engineering team adopted Databricks-native patterns instead of simply recreating Synapse-era designs.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treated it as a combination of architecture redesign, engineering enablement, and delivery leadership. From an architecture perspective, I helped move the team toward PySpark- and Delta-based processing patterns that were better suited for scalable distributed processing. I worked with engineers to identify which existing design ideas were still valid and which needed to be redesigned properly for Databricks. I also introduced stronger standardisation around packaging, deployment, and environment promotion through Databricks Asset Bundles, and I made production readiness part of the migration rather than a post-go-live task. In parallel, I used design reviews and mentoring to help the team build confidence in the new platform model.</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migration delivered a more scalable and higher-performing analytics platform, with stronger deployment repeatability and a better long-term engineering model for future workloads.</w:t>
            </w:r>
          </w:p>
        </w:tc>
      </w:tr>
    </w:tbl>
    <w:p/>
    <w:p>
      <w:pPr>
        <w:pStyle w:val="SubHeading"/>
        <w:spacing w:before="160" w:after="40" w:line="276" w:lineRule="auto"/>
      </w:pPr>
      <w:r>
        <w:t>Tell me about a time you influenced adoption of a new platform or technology, or handled customers who did not understand Databricks.</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Canopius, part of the challenge was not just standing up the Azure–Databricks platform but helping business and technical teams adopt it confidently as the strategic direction for data delivery.</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needed to build trust in the platform, help stakeholders understand its value, and ensure it was viewed as a practical operating model rather than a purely technical initiative.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led architecture and whiteboarding sessions and translated business requirements into scalable solutions. Importantly, I did not begin with deep technical terminology. I explained the value in business terms first — for example, improved reliability, better trust in data, faster onboarding of future use cases, and stronger production support. Once stakeholders understood the value, I introduced the technical depth appropriate for their audience.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This helped strengthen adoption of Azure and Databricks across the organisation and reinforced my role as both a technical leader and a business-facing advisor.</w:t>
            </w:r>
          </w:p>
        </w:tc>
      </w:tr>
    </w:tbl>
    <w:p/>
    <w:p>
      <w:pPr>
        <w:pStyle w:val="SubHeading"/>
        <w:spacing w:before="160" w:after="40" w:line="276" w:lineRule="auto"/>
      </w:pPr>
      <w:r>
        <w:t>Tell me about a time you worked across multiple technologies to solve a business-critical problem.</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Vanquis, the FICO–VCAP integration formed part of a broader effort to build the Vanquis Data Platform as a scalable cloud-based analytics platform.</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My responsibility was to help build an integration pattern that was robust, scalable, and aligned with enterprise analytics use cases rather than merely transferring data from one system to another.</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worked across NiFi, Hadoop ecosystem components such as HDFS, Hive, YARN, Ranger, and Ambari, as well as Azure services including Data Factory, Service Bus, Azure Functions, storage, and DevOps. I focused on maintainable pipeline design, orchestration, and ensuring that data from origination and affordability processes could feed downstream analytical use cases reliably.</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platform was able to ingest and extend critical lending-related data flows into the Vanquis analytical environment, supporting affordability scorecard use cases and strengthening the broader high-performance data platform vision.</w:t>
            </w:r>
          </w:p>
        </w:tc>
      </w:tr>
    </w:tbl>
    <w:p/>
    <w:p>
      <w:pPr>
        <w:pStyle w:val="SubHeading"/>
        <w:spacing w:before="160" w:after="40" w:line="276" w:lineRule="auto"/>
      </w:pPr>
      <w:r>
        <w:t>Tell me about a situation when you went above and beyond for a project or customer.</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Canopius, I realised that simply delivering the technical solution for the Azure–Databricks platform transformation would not be enough. The business needed a platform it could trust, adopt, and scale.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Although my formal responsibility was architecture and delivery, I chose to extend my involvement into platform adoption, deployment standardisation, and production readiness.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invested extra effort in reusable engineering frameworks, Databricks Asset Bundles, stakeholder enablement through architecture sessions, and stronger governance, observability, and operational discipline. My aim was to make the platform sustainable and trusted, not just technically complete.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programme achieved more than a successful migration. It migrated 15+ legacy applications, improved processing by 60–70%, and enabled around 50 users on the platform, while also creating a much stronger long-term foundation for the organisation.</w:t>
            </w:r>
          </w:p>
        </w:tc>
      </w:tr>
    </w:tbl>
    <w:p/>
    <w:p>
      <w:pPr>
        <w:pStyle w:val="SubHeading"/>
        <w:spacing w:before="160" w:after="40" w:line="276" w:lineRule="auto"/>
      </w:pPr>
      <w:r>
        <w:t>Tell me about an innovative solution you developed for a difficult problem.</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Vanquis, parts of the VCAP-related platform relied on NiFi and a Hadoop/HDInsight-oriented ingestion ecosystem. As the need for near-real-time and downstream analytical flexibility increased, that architecture became harder to scale and maintain.</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wanted to test whether we could move from a flow-based ingestion model toward a more Databricks-native streaming approach for VCAP enhancement scenarios.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developed a proof of concept using Databricks Structured Streaming. The innovation was not simply replacing one tool with another; it was demonstrating that ingestion and downstream processing could be unified more cleanly inside Databricks. The PoC tested incremental ingestion, Spark-based streaming execution, reduced handoffs between ingestion and processing, and better alignment with a future Lakehouse-style architecture.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PoC showed that Databricks Structured Streaming was a credible and more modern option for the use case. More importantly, it shifted the conversation from tool replacement to broader platform simplification and strategy.</w:t>
            </w:r>
          </w:p>
        </w:tc>
      </w:tr>
    </w:tbl>
    <w:p/>
    <w:p>
      <w:pPr>
        <w:pStyle w:val="SubHeading"/>
        <w:spacing w:before="160" w:after="40" w:line="276" w:lineRule="auto"/>
      </w:pPr>
      <w:r>
        <w:t>Tell me about a time when you helped resolve a conflict within your team.</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During the Canopius migration from Synapse-oriented patterns to Databricks, there was a genuine difference of opinion within the team. Some engineers wanted to preserve more of the existing pipeline and deployment approach for speed, while others wanted a cleaner redesign for long-term maintainability.</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My role was to resolve the conflict in a way that protected team collaboration and led us to the right technical decision without stalling the migration.</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made sure both sides felt heard, then reframed the discussion around objective trade-offs: scalability, supportability, environment consistency, speed of delivery, and onboarding of future workloads. I then proposed a balanced path: keep business-critical workloads moving, but standardise the new delivery model using Databricks-native processing and controlled deployment patterns such as Asset Bundles.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The team aligned on a practical migration approach, delivery continued with less friction, and the platform ended up with a stronger and more scalable engineering model.</w:t>
            </w:r>
          </w:p>
        </w:tc>
      </w:tr>
    </w:tbl>
    <w:p/>
    <w:p>
      <w:pPr>
        <w:pStyle w:val="SubHeading"/>
        <w:spacing w:before="160" w:after="40" w:line="276" w:lineRule="auto"/>
      </w:pPr>
      <w:r>
        <w:t>Tell me about a situation where you quickly learned a new tool or technology.</w:t>
      </w:r>
    </w:p>
    <w:tbl>
      <w:tblPr>
        <w:tblStyle w:val="TableGrid"/>
        <w:tblW w:type="auto" w:w="0"/>
        <w:jc w:val="center"/>
        <w:tblLook w:firstColumn="1" w:firstRow="1" w:lastColumn="0" w:lastRow="0" w:noHBand="0" w:noVBand="1" w:val="04A0"/>
      </w:tblPr>
      <w:tblGrid>
        <w:gridCol w:w="4968"/>
        <w:gridCol w:w="4968"/>
      </w:tblGrid>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Situation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At Vanquis, during the FICO–VCAP integration work, NiFi became an important part of the ingestion architecture, and it was relatively new to me at the time.</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Task</w:t>
            </w:r>
          </w:p>
        </w:tc>
        <w:tc>
          <w:tcPr>
            <w:tcW w:type="dxa" w:w="8568"/>
            <w:shd w:fill="FFFFFF"/>
            <w:tcMar>
              <w:top w:w="90" w:type="dxa"/>
              <w:start w:w="100" w:type="dxa"/>
              <w:bottom w:w="90" w:type="dxa"/>
              <w:end w:w="100" w:type="dxa"/>
            </w:tcMar>
            <w:vAlign w:val="center"/>
          </w:tcPr>
          <w:p>
            <w:pPr>
              <w:pStyle w:val="AnswerBody"/>
              <w:spacing w:before="0" w:after="0" w:line="276" w:lineRule="auto"/>
            </w:pPr>
            <w:r/>
            <w:r>
              <w:t>I needed to become productive quickly, not just at a surface level, but to the point where I could contribute to design, delivery, troubleshooting, and support for business-critical data flows.</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Action</w:t>
            </w:r>
          </w:p>
        </w:tc>
        <w:tc>
          <w:tcPr>
            <w:tcW w:type="dxa" w:w="8568"/>
            <w:shd w:fill="FFFFFF"/>
            <w:tcMar>
              <w:top w:w="90" w:type="dxa"/>
              <w:start w:w="100" w:type="dxa"/>
              <w:bottom w:w="90" w:type="dxa"/>
              <w:end w:w="100" w:type="dxa"/>
            </w:tcMar>
            <w:vAlign w:val="center"/>
          </w:tcPr>
          <w:p>
            <w:pPr>
              <w:pStyle w:val="AnswerBody"/>
              <w:spacing w:before="0" w:after="0" w:line="276" w:lineRule="auto"/>
            </w:pPr>
            <w:r/>
            <w:r>
              <w:t>I invested heavily in self-learning and hands-on experimentation. I studied NiFi processor behaviour, flow design, routing, back-pressure handling, scheduling models, and how NiFi interacted with the wider Hadoop and Azure ecosystem. I also tested it in practical scenarios so I understood how to design maintainable and supportable flows rather than just copy patterns from documentation. Over time, I moved from learning the tool to understanding when and how it should be used architecturally.</w:t>
            </w:r>
          </w:p>
        </w:tc>
      </w:tr>
      <w:tr>
        <w:tc>
          <w:tcPr>
            <w:tcW w:type="dxa" w:w="1656"/>
            <w:shd w:fill="DCE6F2"/>
            <w:tcMar>
              <w:top w:w="90" w:type="dxa"/>
              <w:start w:w="100" w:type="dxa"/>
              <w:bottom w:w="90" w:type="dxa"/>
              <w:end w:w="100" w:type="dxa"/>
            </w:tcMar>
            <w:vAlign w:val="center"/>
          </w:tcPr>
          <w:p>
            <w:pPr>
              <w:pStyle w:val="AnswerBody"/>
              <w:spacing w:before="0" w:after="0" w:line="276" w:lineRule="auto"/>
            </w:pPr>
            <w:r/>
            <w:r>
              <w:rPr>
                <w:b/>
              </w:rPr>
              <w:t>Result</w:t>
            </w:r>
          </w:p>
        </w:tc>
        <w:tc>
          <w:tcPr>
            <w:tcW w:type="dxa" w:w="8568"/>
            <w:shd w:fill="FFFFFF"/>
            <w:tcMar>
              <w:top w:w="90" w:type="dxa"/>
              <w:start w:w="100" w:type="dxa"/>
              <w:bottom w:w="90" w:type="dxa"/>
              <w:end w:w="100" w:type="dxa"/>
            </w:tcMar>
            <w:vAlign w:val="center"/>
          </w:tcPr>
          <w:p>
            <w:pPr>
              <w:pStyle w:val="AnswerBody"/>
              <w:spacing w:before="0" w:after="0" w:line="276" w:lineRule="auto"/>
            </w:pPr>
            <w:r/>
            <w:r>
              <w:t>I became one of the go-to people in the team for NiFi-related design and implementation questions, effectively growing into an SME for that area within the project.</w:t>
            </w:r>
          </w:p>
        </w:tc>
      </w:tr>
    </w:tbl>
    <w:p/>
    <w:p>
      <w:pPr>
        <w:pStyle w:val="SectionHeading"/>
        <w:spacing w:before="200" w:after="80" w:line="276" w:lineRule="auto"/>
      </w:pPr>
      <w:r>
        <w:t>4. Short, High-Value Answer Patterns</w:t>
      </w:r>
    </w:p>
    <w:p>
      <w:pPr>
        <w:pStyle w:val="AnswerBody"/>
        <w:spacing w:before="0" w:after="100" w:line="276" w:lineRule="auto"/>
      </w:pPr>
      <w:r>
        <w:rPr>
          <w:b/>
        </w:rPr>
        <w:t xml:space="preserve">Tell me about a time your architecture decision was wrong. </w:t>
      </w:r>
      <w:r>
        <w:t>In one earlier phase of platform design, I made assumptions about workload patterns too early. Once actual usage became clearer, I saw that some design choices were not as efficient as expected. I re-evaluated the design using real workload behaviour, adjusted the architecture, and improved both performance and cost. The lesson for me was to validate assumptions with realistic usage patterns earlier rather than relying only on expected behaviour.</w:t>
      </w:r>
    </w:p>
    <w:p>
      <w:pPr>
        <w:pStyle w:val="AnswerBody"/>
        <w:spacing w:before="0" w:after="100" w:line="276" w:lineRule="auto"/>
      </w:pPr>
      <w:r>
        <w:rPr>
          <w:b/>
        </w:rPr>
        <w:t xml:space="preserve">Have you ever pushed back on a stakeholder? </w:t>
      </w:r>
      <w:r>
        <w:t>Yes. When a stakeholder wanted a faster but more tactical solution, I explained the risks around data quality, performance, and long-term support. I then proposed a phased approach that delivered an immediate outcome while still building the proper curated and scalable architecture in parallel.</w:t>
      </w:r>
    </w:p>
    <w:p>
      <w:pPr>
        <w:pStyle w:val="AnswerBody"/>
        <w:spacing w:before="0" w:after="100" w:line="276" w:lineRule="auto"/>
      </w:pPr>
      <w:r>
        <w:rPr>
          <w:b/>
        </w:rPr>
        <w:t xml:space="preserve">What do you do when there is no clear solution? </w:t>
      </w:r>
      <w:r>
        <w:t>I break the problem into smaller parts, validate assumptions early, and iterate. I also engage stakeholders regularly so we make sure we are solving the right business problem rather than building a technically elegant solution that does not address the real need.</w:t>
      </w:r>
    </w:p>
    <w:p>
      <w:pPr>
        <w:pStyle w:val="AnswerBody"/>
        <w:spacing w:before="0" w:after="100" w:line="276" w:lineRule="auto"/>
      </w:pPr>
      <w:r>
        <w:rPr>
          <w:b/>
        </w:rPr>
        <w:t xml:space="preserve">How do you ensure adoption of a platform you built? </w:t>
      </w:r>
      <w:r>
        <w:t>I focus on ease of use, enablement, and trust. In practice, that means reusable frameworks and documentation, stakeholder workshops and whiteboarding sessions, and strong governance and data quality so users feel confident relying on the platform.</w:t>
      </w:r>
    </w:p>
    <w:p>
      <w:pPr>
        <w:pStyle w:val="AnswerBody"/>
        <w:spacing w:before="0" w:after="100" w:line="276" w:lineRule="auto"/>
      </w:pPr>
      <w:r>
        <w:rPr>
          <w:b/>
        </w:rPr>
        <w:t xml:space="preserve">What would you do differently if you started again? </w:t>
      </w:r>
      <w:r>
        <w:t>I would involve stakeholders even earlier in defining usage patterns and platform expectations, and I would invest more upfront in data contracts, standardisation, and guardrails to reduce rework later.</w:t>
      </w:r>
    </w:p>
    <w:p>
      <w:pPr>
        <w:pStyle w:val="SectionHeading"/>
        <w:spacing w:before="200" w:after="80" w:line="276" w:lineRule="auto"/>
      </w:pPr>
      <w:r>
        <w:t>5. Final Interview Tip</w:t>
      </w:r>
    </w:p>
    <w:p>
      <w:pPr>
        <w:pStyle w:val="AnswerBody"/>
        <w:spacing w:before="0" w:after="0" w:line="276" w:lineRule="auto"/>
      </w:pPr>
      <w:r>
        <w:rPr>
          <w:b/>
        </w:rPr>
        <w:t xml:space="preserve">When using these answers in interviews, do not try to memorise them word for word. </w:t>
      </w:r>
      <w:r>
        <w:t>Instead, remember the core structure: the business problem, the technical challenge, the decisions you made, the trade-offs you managed, and the measurable outcome. That will make your answers sound natural, senior, and convincing.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Title"/>
    <w:rPr>
      <w:rFonts w:ascii="Aptos" w:hAnsi="Aptos"/>
      <w:b/>
      <w:color w:val="1A3E6A"/>
      <w:sz w:val="44"/>
    </w:rPr>
  </w:style>
  <w:style w:type="paragraph" w:customStyle="1" w:styleId="CustomSubTitle">
    <w:name w:val="CustomSubTitle"/>
    <w:basedOn w:val="Subtitle"/>
    <w:rPr>
      <w:rFonts w:ascii="Aptos" w:hAnsi="Aptos"/>
      <w:b w:val="0"/>
      <w:color w:val="5A5A5A"/>
      <w:sz w:val="22"/>
    </w:rPr>
  </w:style>
  <w:style w:type="paragraph" w:customStyle="1" w:styleId="SectionHeading">
    <w:name w:val="SectionHeading"/>
    <w:basedOn w:val="Heading1"/>
    <w:rPr>
      <w:rFonts w:ascii="Aptos" w:hAnsi="Aptos"/>
      <w:b/>
      <w:color w:val="1A3E6A"/>
      <w:sz w:val="30"/>
    </w:rPr>
  </w:style>
  <w:style w:type="paragraph" w:customStyle="1" w:styleId="SubHeading">
    <w:name w:val="SubHeading"/>
    <w:basedOn w:val="Heading2"/>
    <w:rPr>
      <w:rFonts w:ascii="Aptos" w:hAnsi="Aptos"/>
      <w:b/>
      <w:color w:val="363636"/>
      <w:sz w:val="24"/>
    </w:rPr>
  </w:style>
  <w:style w:type="paragraph" w:customStyle="1" w:styleId="AnswerBody">
    <w:name w:val="AnswerBody"/>
    <w:basedOn w:val="Normal"/>
    <w:rPr>
      <w:rFonts w:ascii="Aptos" w:hAnsi="Aptos"/>
      <w:b w:val="0"/>
      <w:color w:val="21212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