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759c1984e3f6cf7cbd295c2372d612f1612346f"/>
    <w:p>
      <w:pPr>
        <w:pStyle w:val="Heading1"/>
      </w:pPr>
      <w:r>
        <w:t xml:space="preserve">One Edu — Hosting &amp; Infrastructure Architecture</w:t>
      </w:r>
    </w:p>
    <w:bookmarkStart w:id="9" w:name="board-briefing-cloud-hosting-design"/>
    <w:p>
      <w:pPr>
        <w:pStyle w:val="Heading3"/>
      </w:pPr>
      <w:r>
        <w:t xml:space="preserve">Board Briefing · Cloud Hosting Design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Hosting &amp; Infrastructure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One Edu — Education Super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Board of Directors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/ 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platform</w:t>
            </w:r>
          </w:p>
        </w:tc>
        <w:tc>
          <w:tcPr/>
          <w:p>
            <w:pPr>
              <w:pStyle w:val="Compact"/>
            </w:pPr>
            <w:r>
              <w:t xml:space="preserve">Microsoft Azure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region</w:t>
            </w:r>
          </w:p>
        </w:tc>
        <w:tc>
          <w:tcPr/>
          <w:p>
            <w:pPr>
              <w:pStyle w:val="Compact"/>
            </w:pPr>
            <w:r>
              <w:t xml:space="preserve">UK South (UK West for 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For board review</w:t>
            </w:r>
          </w:p>
        </w:tc>
      </w:tr>
    </w:tbl>
    <w:bookmarkEnd w:id="9"/>
    <w:bookmarkStart w:id="10" w:name="document-revision-history"/>
    <w:p>
      <w:pPr>
        <w:pStyle w:val="Heading3"/>
      </w:pPr>
      <w:r>
        <w:t xml:space="preserve">Document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Internal draft for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Initial board release — single-region &amp; multi-region designs, component briefs, security &amp; governance briefing.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One Edu will be hosted on</w:t>
      </w:r>
      <w:r>
        <w:t xml:space="preserve"> </w:t>
      </w:r>
      <w:r>
        <w:rPr>
          <w:b/>
          <w:bCs/>
        </w:rPr>
        <w:t xml:space="preserve">Microsoft Azure</w:t>
      </w:r>
      <w:r>
        <w:t xml:space="preserve"> </w:t>
      </w:r>
      <w:r>
        <w:t xml:space="preserve">as a secure, compliant, multi-tenant SaaS platform. The design is deliberately</w:t>
      </w:r>
      <w:r>
        <w:t xml:space="preserve"> </w:t>
      </w:r>
      <w:r>
        <w:rPr>
          <w:b/>
          <w:bCs/>
        </w:rPr>
        <w:t xml:space="preserve">phased</w:t>
      </w:r>
      <w:r>
        <w:t xml:space="preserve"> </w:t>
      </w:r>
      <w:r>
        <w:t xml:space="preserve">to control cost and risk: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(Phase 1):</w:t>
      </w:r>
      <w:r>
        <w:t xml:space="preserve"> </w:t>
      </w:r>
      <w:r>
        <w:t xml:space="preserve">a single Azure region hosting the first institution, built on managed</w:t>
      </w:r>
      <w:r>
        <w:t xml:space="preserve"> </w:t>
      </w:r>
      <w:r>
        <w:rPr>
          <w:b/>
          <w:bCs/>
        </w:rPr>
        <w:t xml:space="preserve">Azure App Service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Azure SQL Database</w:t>
      </w:r>
      <w:r>
        <w:t xml:space="preserve"> </w:t>
      </w:r>
      <w:r>
        <w:t xml:space="preserve">— a lean, production-grade footprint with high availability.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Scale (future):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blueprint is replicated into additional geographic regions, giving each country its own data boundary. This proves the platform is</w:t>
      </w:r>
      <w:r>
        <w:t xml:space="preserve"> </w:t>
      </w:r>
      <w:r>
        <w:rPr>
          <w:b/>
          <w:bCs/>
        </w:rPr>
        <w:t xml:space="preserve">expansion-ready</w:t>
      </w:r>
      <w:r>
        <w:t xml:space="preserve"> </w:t>
      </w:r>
      <w:r>
        <w:t xml:space="preserve">without re-architecture.</w:t>
      </w:r>
    </w:p>
    <w:p>
      <w:pPr>
        <w:pStyle w:val="FirstParagraph"/>
      </w:pPr>
      <w:r>
        <w:t xml:space="preserve">Two architectures are presented separately in this document: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Single-Region (Single-Tenant) Architecture</w:t>
      </w:r>
      <w:r>
        <w:t xml:space="preserve"> </w:t>
      </w:r>
      <w:r>
        <w:t xml:space="preserve">— the day-one production environment (Section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Multi-Region (Multi-Tenant) Architecture</w:t>
      </w:r>
      <w:r>
        <w:t xml:space="preserve"> </w:t>
      </w:r>
      <w:r>
        <w:t xml:space="preserve">— the target operating model as the platform grows internationally (Section 6).</w:t>
      </w:r>
    </w:p>
    <w:p>
      <w:pPr>
        <w:pStyle w:val="FirstParagraph"/>
      </w:pPr>
      <w:r>
        <w:t xml:space="preserve">The estimated monthly hosting + tooling cost (excluding staff) for the launch environment is summarised in Section 9 and detailed in the companion workbook</w:t>
      </w:r>
      <w:r>
        <w:t xml:space="preserve"> </w:t>
      </w:r>
      <w:r>
        <w:rPr>
          <w:i/>
          <w:iCs/>
        </w:rPr>
        <w:t xml:space="preserve">CostEstimate-OneEdu-Board.xlsx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urpose-scope"/>
    <w:p>
      <w:pPr>
        <w:pStyle w:val="Heading2"/>
      </w:pPr>
      <w:r>
        <w:t xml:space="preserve">2. Purpose &amp; Scope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To give the Board a clear, non-exhaustive view of how One Edu is hosted, why each major component exists, and how the design satisfies security, data-protection, availability and growth requirements.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cloud hosting topology, core platform services, environments, security &amp; compliance posture, high-availability &amp; disaster recovery, and the expansion model.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application feature design (covered by the SRS), detailed network IP plans, and day-rate / staffing costs.</w:t>
      </w:r>
    </w:p>
    <w:p>
      <w:r>
        <w:pict>
          <v:rect style="width:0;height:1.5pt" o:hralign="center" o:hrstd="t" o:hr="t"/>
        </w:pict>
      </w:r>
    </w:p>
    <w:bookmarkEnd w:id="12"/>
    <w:bookmarkStart w:id="13" w:name="architecture-principles"/>
    <w:p>
      <w:pPr>
        <w:pStyle w:val="Heading2"/>
      </w:pPr>
      <w:r>
        <w:t xml:space="preserve">3. Architecture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Managed-first</w:t>
            </w:r>
          </w:p>
        </w:tc>
        <w:tc>
          <w:tcPr/>
          <w:p>
            <w:pPr>
              <w:pStyle w:val="Compact"/>
            </w:pPr>
            <w:r>
              <w:t xml:space="preserve">Prefer Azure platform (PaaS) services over self-managed servers — less to patch, operate and secure.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&amp; compliant by design</w:t>
            </w:r>
          </w:p>
        </w:tc>
        <w:tc>
          <w:tcPr/>
          <w:p>
            <w:pPr>
              <w:pStyle w:val="Compact"/>
            </w:pPr>
            <w:r>
              <w:t xml:space="preserve">Tenant isolation, encryption, and data-residency are built in from day one, not added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Phased investment</w:t>
            </w:r>
          </w:p>
        </w:tc>
        <w:tc>
          <w:tcPr/>
          <w:p>
            <w:pPr>
              <w:pStyle w:val="Compact"/>
            </w:pPr>
            <w:r>
              <w:t xml:space="preserve">Pay for capability as modules go live; avoid over-provisioning at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Expansion-ready</w:t>
            </w:r>
          </w:p>
        </w:tc>
        <w:tc>
          <w:tcPr/>
          <w:p>
            <w:pPr>
              <w:pStyle w:val="Compact"/>
            </w:pPr>
            <w:r>
              <w:t xml:space="preserve">One regional blueprint, stamped per country — growth needs no redesign.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No single point of failure for production; automated recovery.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core technology set</w:t>
            </w:r>
          </w:p>
        </w:tc>
        <w:tc>
          <w:tcPr/>
          <w:p>
            <w:pPr>
              <w:pStyle w:val="Compact"/>
            </w:pPr>
            <w:r>
              <w:t xml:space="preserve">Standardise on Azure App Service + Azure SQL to keep the team’s operating skills focused.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olution-overview"/>
    <w:p>
      <w:pPr>
        <w:pStyle w:val="Heading2"/>
      </w:pPr>
      <w:r>
        <w:t xml:space="preserve">4. Solution Overview</w:t>
      </w:r>
    </w:p>
    <w:p>
      <w:pPr>
        <w:pStyle w:val="FirstParagraph"/>
      </w:pPr>
      <w:r>
        <w:t xml:space="preserve">One Edu is delivered through</w:t>
      </w:r>
      <w:r>
        <w:t xml:space="preserve"> </w:t>
      </w:r>
      <w:r>
        <w:rPr>
          <w:b/>
          <w:bCs/>
        </w:rPr>
        <w:t xml:space="preserve">native mobile apps (iOS/Android)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responsive web app</w:t>
      </w:r>
      <w:r>
        <w:t xml:space="preserve">, all served from a hardened Azure environment. Traffic enters through a global edge with a Web Application Firewall, is processed by the application tier, and reads/writes a securely isolated data tier. Supporting services provide identity, notifications, AI, monitoring and security.</w:t>
      </w:r>
    </w:p>
    <w:p>
      <w:pPr>
        <w:pStyle w:val="BodyText"/>
      </w:pPr>
      <w:r>
        <w:t xml:space="preserve">The platform is organised into a</w:t>
      </w:r>
      <w:r>
        <w:t xml:space="preserve"> </w:t>
      </w:r>
      <w:r>
        <w:rPr>
          <w:b/>
          <w:bCs/>
        </w:rPr>
        <w:t xml:space="preserve">Phase 1 (launch)</w:t>
      </w:r>
      <w:r>
        <w:t xml:space="preserve"> </w:t>
      </w:r>
      <w:r>
        <w:t xml:space="preserve">core and a</w:t>
      </w:r>
      <w:r>
        <w:t xml:space="preserve"> </w:t>
      </w:r>
      <w:r>
        <w:rPr>
          <w:b/>
          <w:bCs/>
        </w:rPr>
        <w:t xml:space="preserve">Phase 2 (growth)</w:t>
      </w:r>
      <w:r>
        <w:t xml:space="preserve"> </w:t>
      </w:r>
      <w:r>
        <w:t xml:space="preserve">set of services that are switched on as the corresponding product modules are released.</w:t>
      </w:r>
    </w:p>
    <w:p>
      <w:r>
        <w:pict>
          <v:rect style="width:0;height:1.5pt" o:hralign="center" o:hrstd="t" o:hr="t"/>
        </w:pict>
      </w:r>
    </w:p>
    <w:bookmarkEnd w:id="14"/>
    <w:bookmarkStart w:id="22" w:name="single-region-single-tenant-architecture"/>
    <w:p>
      <w:pPr>
        <w:pStyle w:val="Heading2"/>
      </w:pPr>
      <w:r>
        <w:t xml:space="preserve">5. Single-Region (Single-Tenant) Architecture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day-one production environment</w:t>
      </w:r>
      <w:r>
        <w:t xml:space="preserve"> </w:t>
      </w:r>
      <w:r>
        <w:t xml:space="preserve">— one Azure region hosting the first institution (~5,000 students).</w:t>
      </w:r>
    </w:p>
    <w:p>
      <w:pPr>
        <w:sectPr>
          <w:footerReference w:type="default" r:id="rId9"/>
          <w:type w:val="nextPage"/>
          <w:pgSz w:w="12240" w:h="15840"/>
          <w:pgMar w:top="1440" w:right="1440" w:bottom="1440" w:left="1440" w:header="720" w:footer="720" w:gutter="0"/>
        </w:sectPr>
      </w:pPr>
    </w:p>
    <w:p>
      <w:pPr>
        <w:pStyle w:val="CaptionedFigure"/>
      </w:pPr>
      <w:r>
        <w:drawing>
          <wp:inline>
            <wp:extent cx="5334000" cy="3000473"/>
            <wp:effectExtent b="0" l="0" r="0" t="0"/>
            <wp:docPr descr="Single-region hosting architecture for One Edu" title="" id="16" name="Picture"/>
            <a:graphic>
              <a:graphicData uri="http://schemas.openxmlformats.org/drawingml/2006/picture">
                <pic:pic>
                  <pic:nvPicPr>
                    <pic:cNvPr descr="images/azure-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Single-region hosting architecture for One Edu</w:t>
      </w:r>
    </w:p>
    <w:p>
      <w:pPr>
        <w:pStyle w:val="BodyText"/>
      </w:pPr>
      <w:r>
        <w:rPr>
          <w:i/>
          <w:iCs/>
        </w:rPr>
        <w:t xml:space="preserve">Figure 1 — Single-region architecture. Services inside the amber zone are Phase 2 (activated as each module goes live); everything else is the Phase 1 launch.</w:t>
      </w:r>
    </w:p>
    <w:p>
      <w:pPr>
        <w:sectPr>
          <w:footerReference w:type="default" r:id="rId10"/>
          <w:type w:val="nextPage"/>
          <w:pgSz w:w="15840" w:h="12240" w:orient="landscape"/>
          <w:pgMar w:top="720" w:right="720" w:bottom="720" w:left="720" w:header="720" w:footer="720" w:gutter="0"/>
        </w:sectPr>
      </w:pPr>
    </w:p>
    <w:bookmarkStart w:id="18" w:name="how-it-works-request-flow"/>
    <w:p>
      <w:pPr>
        <w:pStyle w:val="Heading3"/>
      </w:pPr>
      <w:r>
        <w:t xml:space="preserve">5.1 How it works (request flow)</w:t>
      </w:r>
    </w:p>
    <w:p>
      <w:pPr>
        <w:pStyle w:val="Compact"/>
        <w:numPr>
          <w:ilvl w:val="0"/>
          <w:numId w:val="1003"/>
        </w:numPr>
      </w:pPr>
      <w:r>
        <w:t xml:space="preserve">Users on the</w:t>
      </w:r>
      <w:r>
        <w:t xml:space="preserve"> </w:t>
      </w:r>
      <w:r>
        <w:rPr>
          <w:b/>
          <w:bCs/>
        </w:rPr>
        <w:t xml:space="preserve">mobile app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web app</w:t>
      </w:r>
      <w:r>
        <w:t xml:space="preserve"> </w:t>
      </w:r>
      <w:r>
        <w:t xml:space="preserve">connect over HTTPS to</w:t>
      </w:r>
      <w:r>
        <w:t xml:space="preserve"> </w:t>
      </w:r>
      <w:r>
        <w:rPr>
          <w:b/>
          <w:bCs/>
        </w:rPr>
        <w:t xml:space="preserve">Azure Front Door</w:t>
      </w:r>
      <w:r>
        <w:t xml:space="preserve">, which terminates TLS and applies the</w:t>
      </w:r>
      <w:r>
        <w:t xml:space="preserve"> </w:t>
      </w:r>
      <w:r>
        <w:rPr>
          <w:b/>
          <w:bCs/>
        </w:rPr>
        <w:t xml:space="preserve">Web Application Firewall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Front Door routes to</w:t>
      </w:r>
      <w:r>
        <w:t xml:space="preserve"> </w:t>
      </w:r>
      <w:r>
        <w:rPr>
          <w:b/>
          <w:bCs/>
        </w:rPr>
        <w:t xml:space="preserve">Azure App Service</w:t>
      </w:r>
      <w:r>
        <w:t xml:space="preserve">, which runs the application (server-rendered UI + API).</w:t>
      </w:r>
    </w:p>
    <w:p>
      <w:pPr>
        <w:pStyle w:val="Compact"/>
        <w:numPr>
          <w:ilvl w:val="0"/>
          <w:numId w:val="1003"/>
        </w:numPr>
      </w:pPr>
      <w:r>
        <w:t xml:space="preserve">The app authenticates users via</w:t>
      </w:r>
      <w:r>
        <w:t xml:space="preserve"> </w:t>
      </w:r>
      <w:r>
        <w:rPr>
          <w:b/>
          <w:bCs/>
        </w:rPr>
        <w:t xml:space="preserve">Microsoft Entra External ID</w:t>
      </w:r>
      <w:r>
        <w:t xml:space="preserve"> </w:t>
      </w:r>
      <w:r>
        <w:t xml:space="preserve">(sign-in + multi-factor authentication).</w:t>
      </w:r>
    </w:p>
    <w:p>
      <w:pPr>
        <w:pStyle w:val="Compact"/>
        <w:numPr>
          <w:ilvl w:val="0"/>
          <w:numId w:val="1003"/>
        </w:numPr>
      </w:pPr>
      <w:r>
        <w:t xml:space="preserve">The app reads and writes the</w:t>
      </w:r>
      <w:r>
        <w:t xml:space="preserve"> </w:t>
      </w:r>
      <w:r>
        <w:rPr>
          <w:b/>
          <w:bCs/>
        </w:rPr>
        <w:t xml:space="preserve">data tier</w:t>
      </w:r>
      <w:r>
        <w:t xml:space="preserve"> </w:t>
      </w:r>
      <w:r>
        <w:t xml:space="preserve">over private connections:</w:t>
      </w:r>
      <w:r>
        <w:t xml:space="preserve"> </w:t>
      </w:r>
      <w:r>
        <w:rPr>
          <w:b/>
          <w:bCs/>
        </w:rPr>
        <w:t xml:space="preserve">Azure SQL</w:t>
      </w:r>
      <w:r>
        <w:t xml:space="preserve"> </w:t>
      </w:r>
      <w:r>
        <w:t xml:space="preserve">(tenant data, with Row-Level Security),</w:t>
      </w:r>
      <w:r>
        <w:t xml:space="preserve"> </w:t>
      </w:r>
      <w:r>
        <w:rPr>
          <w:b/>
          <w:bCs/>
        </w:rPr>
        <w:t xml:space="preserve">Blob Storage</w:t>
      </w:r>
      <w:r>
        <w:t xml:space="preserve"> </w:t>
      </w:r>
      <w:r>
        <w:t xml:space="preserve">(files + immutable audit log) and</w:t>
      </w:r>
      <w:r>
        <w:t xml:space="preserve"> </w:t>
      </w:r>
      <w:r>
        <w:rPr>
          <w:b/>
          <w:bCs/>
        </w:rPr>
        <w:t xml:space="preserve">Key Vault</w:t>
      </w:r>
      <w:r>
        <w:t xml:space="preserve"> </w:t>
      </w:r>
      <w:r>
        <w:t xml:space="preserve">(secrets and encryption keys).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Communication Services</w:t>
      </w:r>
      <w:r>
        <w:t xml:space="preserve"> </w:t>
      </w:r>
      <w:r>
        <w:t xml:space="preserve">sends email/SMS/OTP;</w:t>
      </w:r>
      <w:r>
        <w:t xml:space="preserve"> </w:t>
      </w:r>
      <w:r>
        <w:rPr>
          <w:b/>
          <w:bCs/>
        </w:rPr>
        <w:t xml:space="preserve">App Insights / Log Analytics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Defender for Cloud</w:t>
      </w:r>
      <w:r>
        <w:t xml:space="preserve"> </w:t>
      </w:r>
      <w:r>
        <w:t xml:space="preserve">provide monitoring and threat detection.</w:t>
      </w:r>
    </w:p>
    <w:p>
      <w:pPr>
        <w:pStyle w:val="Compact"/>
        <w:numPr>
          <w:ilvl w:val="0"/>
          <w:numId w:val="1003"/>
        </w:numPr>
      </w:pPr>
      <w:r>
        <w:t xml:space="preserve">As modules launch, the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services (real-time messaging, caching, async jobs, push notifications, AI) are enabled and the app pushes updates back to devices (push via APNS/FCM, live updates via WebSocket).</w:t>
      </w:r>
    </w:p>
    <w:bookmarkEnd w:id="18"/>
    <w:bookmarkStart w:id="19" w:name="component-briefs-phase-1-launch"/>
    <w:p>
      <w:pPr>
        <w:pStyle w:val="Heading3"/>
      </w:pPr>
      <w:r>
        <w:t xml:space="preserve">5.2 Component briefs — Phase 1 (launch)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Azure service</w:t>
            </w:r>
          </w:p>
        </w:tc>
        <w:tc>
          <w:tcPr/>
          <w:p>
            <w:pPr>
              <w:pStyle w:val="Compact"/>
            </w:pPr>
            <w:r>
              <w:t xml:space="preserve">Role / why it’s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&amp; firewall</w:t>
            </w:r>
          </w:p>
        </w:tc>
        <w:tc>
          <w:tcPr/>
          <w:p>
            <w:pPr>
              <w:pStyle w:val="Compact"/>
            </w:pPr>
            <w:r>
              <w:t xml:space="preserve">Azure Front Door + WAF</w:t>
            </w:r>
          </w:p>
        </w:tc>
        <w:tc>
          <w:tcPr/>
          <w:p>
            <w:pPr>
              <w:pStyle w:val="Compact"/>
            </w:pPr>
            <w:r>
              <w:t xml:space="preserve">Single secure entry point; TLS, global routing, blocks common web attacks (OWASP).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tier</w:t>
            </w:r>
          </w:p>
        </w:tc>
        <w:tc>
          <w:tcPr/>
          <w:p>
            <w:pPr>
              <w:pStyle w:val="Compact"/>
            </w:pPr>
            <w:r>
              <w:t xml:space="preserve">Azure App Service (Premium v3)</w:t>
            </w:r>
          </w:p>
        </w:tc>
        <w:tc>
          <w:tcPr/>
          <w:p>
            <w:pPr>
              <w:pStyle w:val="Compact"/>
            </w:pPr>
            <w:r>
              <w:t xml:space="preserve">Runs the web/API workload; auto-scales; zone-redundant for 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Microsoft Entra External ID</w:t>
            </w:r>
          </w:p>
        </w:tc>
        <w:tc>
          <w:tcPr/>
          <w:p>
            <w:pPr>
              <w:pStyle w:val="Compact"/>
            </w:pPr>
            <w:r>
              <w:t xml:space="preserve">Customer sign-in, social/SSO federation, and enforced MFA for staff/admins.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database</w:t>
            </w:r>
          </w:p>
        </w:tc>
        <w:tc>
          <w:tcPr/>
          <w:p>
            <w:pPr>
              <w:pStyle w:val="Compact"/>
            </w:pPr>
            <w:r>
              <w:t xml:space="preserve">Azure SQL Database</w:t>
            </w:r>
          </w:p>
        </w:tc>
        <w:tc>
          <w:tcPr/>
          <w:p>
            <w:pPr>
              <w:pStyle w:val="Compact"/>
            </w:pPr>
            <w:r>
              <w:t xml:space="preserve">Stores all institution data;</w:t>
            </w:r>
            <w:r>
              <w:t xml:space="preserve"> </w:t>
            </w:r>
            <w:r>
              <w:rPr>
                <w:b/>
                <w:bCs/>
              </w:rPr>
              <w:t xml:space="preserve">Row-Level Security</w:t>
            </w:r>
            <w:r>
              <w:t xml:space="preserve"> </w:t>
            </w:r>
            <w:r>
              <w:t xml:space="preserve">keeps tenants isolated; built-in 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Documents/media; a write-once container holds the tamper-evident</w:t>
            </w:r>
            <w:r>
              <w:t xml:space="preserve"> </w:t>
            </w:r>
            <w:r>
              <w:rPr>
                <w:b/>
                <w:bCs/>
              </w:rPr>
              <w:t xml:space="preserve">audit 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&amp; keys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Central, encrypted store for secrets and per-tenant encryption keys.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Azure Communication Services</w:t>
            </w:r>
          </w:p>
        </w:tc>
        <w:tc>
          <w:tcPr/>
          <w:p>
            <w:pPr>
              <w:pStyle w:val="Compact"/>
            </w:pPr>
            <w:r>
              <w:t xml:space="preserve">Email, SMS and one-time passcodes (e.g. enrolment confirmations).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App Insights + Log Analytics</w:t>
            </w:r>
          </w:p>
        </w:tc>
        <w:tc>
          <w:tcPr/>
          <w:p>
            <w:pPr>
              <w:pStyle w:val="Compact"/>
            </w:pPr>
            <w:r>
              <w:t xml:space="preserve">End-to-end tracing, dashboards, alerting, and long-term audit retention.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posture</w:t>
            </w:r>
          </w:p>
        </w:tc>
        <w:tc>
          <w:tcPr/>
          <w:p>
            <w:pPr>
              <w:pStyle w:val="Compact"/>
            </w:pPr>
            <w:r>
              <w:t xml:space="preserve">Microsoft Defender for Cloud</w:t>
            </w:r>
          </w:p>
        </w:tc>
        <w:tc>
          <w:tcPr/>
          <w:p>
            <w:pPr>
              <w:pStyle w:val="Compact"/>
            </w:pPr>
            <w:r>
              <w:t xml:space="preserve">Continuous threat detection across app, database and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Azure SQL PITR</w:t>
            </w:r>
          </w:p>
        </w:tc>
        <w:tc>
          <w:tcPr/>
          <w:p>
            <w:pPr>
              <w:pStyle w:val="Compact"/>
            </w:pPr>
            <w:r>
              <w:t xml:space="preserve">Automated point-in-time recovery.</w:t>
            </w:r>
          </w:p>
        </w:tc>
      </w:tr>
    </w:tbl>
    <w:bookmarkEnd w:id="19"/>
    <w:bookmarkStart w:id="20" w:name="X17fcd7f0600d70f5ca6322dfd3848a7955fc42d"/>
    <w:p>
      <w:pPr>
        <w:pStyle w:val="Heading3"/>
      </w:pPr>
      <w:r>
        <w:t xml:space="preserve">5.3 Component briefs — Phase 2 (activated as modules launch)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Azure service</w:t>
            </w:r>
          </w:p>
        </w:tc>
        <w:tc>
          <w:tcPr/>
          <w:p>
            <w:pPr>
              <w:pStyle w:val="Compact"/>
            </w:pPr>
            <w:r>
              <w:t xml:space="preserve">Activated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messaging</w:t>
            </w:r>
          </w:p>
        </w:tc>
        <w:tc>
          <w:tcPr/>
          <w:p>
            <w:pPr>
              <w:pStyle w:val="Compact"/>
            </w:pPr>
            <w:r>
              <w:t xml:space="preserve">SignalR / Web PubSub</w:t>
            </w:r>
          </w:p>
        </w:tc>
        <w:tc>
          <w:tcPr/>
          <w:p>
            <w:pPr>
              <w:pStyle w:val="Compact"/>
            </w:pPr>
            <w:r>
              <w:t xml:space="preserve">In-app chat and live updates.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Azure Cache for Redis</w:t>
            </w:r>
          </w:p>
        </w:tc>
        <w:tc>
          <w:tcPr/>
          <w:p>
            <w:pPr>
              <w:pStyle w:val="Compact"/>
            </w:pPr>
            <w:r>
              <w:t xml:space="preserve">Sessions and rate-limiting at scale.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 jobs / events</w:t>
            </w:r>
          </w:p>
        </w:tc>
        <w:tc>
          <w:tcPr/>
          <w:p>
            <w:pPr>
              <w:pStyle w:val="Compact"/>
            </w:pPr>
            <w:r>
              <w:t xml:space="preserve">Azure Service Bus</w:t>
            </w:r>
          </w:p>
        </w:tc>
        <w:tc>
          <w:tcPr/>
          <w:p>
            <w:pPr>
              <w:pStyle w:val="Compact"/>
            </w:pPr>
            <w:r>
              <w:t xml:space="preserve">Background processing and data migration (e.g. from Moodle).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push</w:t>
            </w:r>
          </w:p>
        </w:tc>
        <w:tc>
          <w:tcPr/>
          <w:p>
            <w:pPr>
              <w:pStyle w:val="Compact"/>
            </w:pPr>
            <w:r>
              <w:t xml:space="preserve">Azure Notification Hubs</w:t>
            </w:r>
          </w:p>
        </w:tc>
        <w:tc>
          <w:tcPr/>
          <w:p>
            <w:pPr>
              <w:pStyle w:val="Compact"/>
            </w:pPr>
            <w:r>
              <w:t xml:space="preserve">Push notifications to iOS/Android (via APNS/FCM).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Azure OpenAI + AI Search</w:t>
            </w:r>
          </w:p>
        </w:tc>
        <w:tc>
          <w:tcPr/>
          <w:p>
            <w:pPr>
              <w:pStyle w:val="Compact"/>
            </w:pPr>
            <w:r>
              <w:t xml:space="preserve">In-region AI insights and tutor (retrieval over the institution’s own content).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Public/partner API</w:t>
            </w:r>
          </w:p>
        </w:tc>
        <w:tc>
          <w:tcPr/>
          <w:p>
            <w:pPr>
              <w:pStyle w:val="Compact"/>
            </w:pPr>
            <w:r>
              <w:t xml:space="preserve">Azure API Management</w:t>
            </w:r>
          </w:p>
        </w:tc>
        <w:tc>
          <w:tcPr/>
          <w:p>
            <w:pPr>
              <w:pStyle w:val="Compact"/>
            </w:pPr>
            <w:r>
              <w:t xml:space="preserve">Versioned external API, webhooks, rate-limiting.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hardening</w:t>
            </w:r>
          </w:p>
        </w:tc>
        <w:tc>
          <w:tcPr/>
          <w:p>
            <w:pPr>
              <w:pStyle w:val="Compact"/>
            </w:pPr>
            <w:r>
              <w:t xml:space="preserve">Private Endpoints + NAT</w:t>
            </w:r>
          </w:p>
        </w:tc>
        <w:tc>
          <w:tcPr/>
          <w:p>
            <w:pPr>
              <w:pStyle w:val="Compact"/>
            </w:pPr>
            <w:r>
              <w:t xml:space="preserve">Private-only data tier for the strictest compliance posture.</w:t>
            </w:r>
          </w:p>
        </w:tc>
      </w:tr>
    </w:tbl>
    <w:bookmarkEnd w:id="20"/>
    <w:bookmarkStart w:id="21" w:name="external-services-not-azure"/>
    <w:p>
      <w:pPr>
        <w:pStyle w:val="Heading3"/>
      </w:pPr>
      <w:r>
        <w:t xml:space="preserve">5.4 External services (not Azure)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gateway</w:t>
            </w:r>
            <w:r>
              <w:t xml:space="preserve"> </w:t>
            </w:r>
            <w:r>
              <w:t xml:space="preserve">(Stripe / PayHere)</w:t>
            </w:r>
          </w:p>
        </w:tc>
        <w:tc>
          <w:tcPr/>
          <w:p>
            <w:pPr>
              <w:pStyle w:val="Compact"/>
            </w:pPr>
            <w:r>
              <w:t xml:space="preserve">Card capture &amp; PCI-DSS scope; One Edu never stores card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LMS</w:t>
            </w:r>
            <w:r>
              <w:t xml:space="preserve"> </w:t>
            </w:r>
            <w:r>
              <w:t xml:space="preserve">(Moodle)</w:t>
            </w:r>
          </w:p>
        </w:tc>
        <w:tc>
          <w:tcPr/>
          <w:p>
            <w:pPr>
              <w:pStyle w:val="Compact"/>
            </w:pPr>
            <w:r>
              <w:t xml:space="preserve">Source system for data migration into One Edu.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/ Google app stores</w:t>
            </w:r>
          </w:p>
        </w:tc>
        <w:tc>
          <w:tcPr/>
          <w:p>
            <w:pPr>
              <w:pStyle w:val="Compact"/>
            </w:pPr>
            <w:r>
              <w:t xml:space="preserve">Distribution of the native mobile apps.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X86e6c01c14d4584610a88ae7270e742922c6410"/>
    <w:p>
      <w:pPr>
        <w:pStyle w:val="Heading2"/>
      </w:pPr>
      <w:r>
        <w:t xml:space="preserve">6. Multi-Region (Multi-Tenant) Architecture — Expansion Model</w:t>
      </w:r>
    </w:p>
    <w:p>
      <w:pPr>
        <w:pStyle w:val="FirstParagraph"/>
      </w:pPr>
      <w:r>
        <w:t xml:space="preserve">As One Edu grows into new countries, the</w:t>
      </w:r>
      <w:r>
        <w:t xml:space="preserve"> </w:t>
      </w:r>
      <w:r>
        <w:rPr>
          <w:b/>
          <w:bCs/>
        </w:rPr>
        <w:t xml:space="preserve">same regional blueprint is replicated</w:t>
      </w:r>
      <w:r>
        <w:t xml:space="preserve"> </w:t>
      </w:r>
      <w:r>
        <w:t xml:space="preserve">per geography. This is the target operating model and demonstrates expansion readiness to investors and regulators.</w:t>
      </w:r>
    </w:p>
    <w:p>
      <w:pPr>
        <w:sectPr>
          <w:footerReference w:type="default" r:id="rId11"/>
          <w:type w:val="nextPage"/>
          <w:pgSz w:w="12240" w:h="15840"/>
          <w:pgMar w:top="1440" w:right="1440" w:bottom="1440" w:left="1440" w:header="720" w:footer="720" w:gutter="0"/>
        </w:sectPr>
      </w:pPr>
    </w:p>
    <w:p>
      <w:pPr>
        <w:pStyle w:val="CaptionedFigure"/>
      </w:pPr>
      <w:r>
        <w:drawing>
          <wp:inline>
            <wp:extent cx="5334000" cy="1906925"/>
            <wp:effectExtent b="0" l="0" r="0" t="0"/>
            <wp:docPr descr="Multi-region, multi-tenant hosting architecture for One Edu" title="" id="24" name="Picture"/>
            <a:graphic>
              <a:graphicData uri="http://schemas.openxmlformats.org/drawingml/2006/picture">
                <pic:pic>
                  <pic:nvPicPr>
                    <pic:cNvPr descr="images/azure-architecture-multireg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Multi-region, multi-tenant hosting architecture for One Edu</w:t>
      </w:r>
    </w:p>
    <w:p>
      <w:pPr>
        <w:pStyle w:val="BodyText"/>
      </w:pPr>
      <w:r>
        <w:rPr>
          <w:i/>
          <w:iCs/>
        </w:rPr>
        <w:t xml:space="preserve">Figure 2 — Multi-region, multi-tenant architecture. Each geo-region is a self-contained data boundary; a small global control plane (non-PII only) routes tenants and manages cross-region identity.</w:t>
      </w:r>
    </w:p>
    <w:p>
      <w:pPr>
        <w:sectPr>
          <w:footerReference w:type="default" r:id="rId12"/>
          <w:type w:val="nextPage"/>
          <w:pgSz w:w="15840" w:h="12240" w:orient="landscape"/>
          <w:pgMar w:top="720" w:right="720" w:bottom="720" w:left="720" w:header="720" w:footer="720" w:gutter="0"/>
        </w:sectPr>
      </w:pPr>
    </w:p>
    <w:bookmarkStart w:id="26" w:name="key-concepts"/>
    <w:p>
      <w:pPr>
        <w:pStyle w:val="Heading3"/>
      </w:pPr>
      <w:r>
        <w:t xml:space="preserve">6.1 Key concepts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Global front door &amp; routing.</w:t>
      </w:r>
      <w:r>
        <w:t xml:space="preserve"> </w:t>
      </w:r>
      <w:r>
        <w:t xml:space="preserve">A single global Azure Front Door receives all users and routes each institution (tenant) to</w:t>
      </w:r>
      <w:r>
        <w:t xml:space="preserve"> </w:t>
      </w:r>
      <w:r>
        <w:rPr>
          <w:b/>
          <w:bCs/>
        </w:rPr>
        <w:t xml:space="preserve">its home region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Global control plane (non-PII only).</w:t>
      </w:r>
      <w:r>
        <w:t xml:space="preserve"> </w:t>
      </w:r>
      <w:r>
        <w:t xml:space="preserve">A small</w:t>
      </w:r>
      <w:r>
        <w:t xml:space="preserve"> </w:t>
      </w:r>
      <w:r>
        <w:rPr>
          <w:b/>
          <w:bCs/>
        </w:rPr>
        <w:t xml:space="preserve">Azure SQL global registry</w:t>
      </w:r>
      <w:r>
        <w:t xml:space="preserve"> </w:t>
      </w:r>
      <w:r>
        <w:t xml:space="preserve">holds only non-personal metadata — which tenant lives in which region, the platform-wide student identifier (</w:t>
      </w:r>
      <w:r>
        <w:t xml:space="preserve">“One Edu ID”</w:t>
      </w:r>
      <w:r>
        <w:t xml:space="preserve">), and billing.</w:t>
      </w:r>
      <w:r>
        <w:t xml:space="preserve"> </w:t>
      </w:r>
      <w:r>
        <w:rPr>
          <w:b/>
          <w:bCs/>
        </w:rPr>
        <w:t xml:space="preserve">No student personal data is stored globally.</w:t>
      </w:r>
      <w:r>
        <w:t xml:space="preserve"> </w:t>
      </w:r>
      <w:r>
        <w:t xml:space="preserve">Global identity (Entra External ID) and platform-admin access (with just-in-time elevation) also sit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Self-contained regional stacks.</w:t>
      </w:r>
      <w:r>
        <w:t xml:space="preserve"> </w:t>
      </w:r>
      <w:r>
        <w:t xml:space="preserve">Each region (e.g. </w:t>
      </w:r>
      <w:r>
        <w:rPr>
          <w:b/>
          <w:bCs/>
        </w:rPr>
        <w:t xml:space="preserve">UK, EU, APAC</w:t>
      </w:r>
      <w:r>
        <w:t xml:space="preserve">) runs the full Phase 1/2 stack — App Service, Azure SQL, Blob, Key Vault, AI — and keeps</w:t>
      </w:r>
      <w:r>
        <w:t xml:space="preserve"> </w:t>
      </w:r>
      <w:r>
        <w:rPr>
          <w:b/>
          <w:bCs/>
        </w:rPr>
        <w:t xml:space="preserve">all personal data inside that region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isolation.</w:t>
      </w:r>
      <w:r>
        <w:t xml:space="preserve"> </w:t>
      </w:r>
      <w:r>
        <w:t xml:space="preserve">Within each region, multiple institutions share the stack but are strictly isolated (Row-Level Security + per-tenant keys). One institution can never see another’s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Disaster recovery.</w:t>
      </w:r>
      <w:r>
        <w:t xml:space="preserve"> </w:t>
      </w:r>
      <w:r>
        <w:t xml:space="preserve">Each region has a paired DR region</w:t>
      </w:r>
      <w:r>
        <w:t xml:space="preserve"> </w:t>
      </w:r>
      <w:r>
        <w:rPr>
          <w:b/>
          <w:bCs/>
        </w:rPr>
        <w:t xml:space="preserve">within the same legal jurisdiction</w:t>
      </w:r>
      <w:r>
        <w:t xml:space="preserve"> </w:t>
      </w:r>
      <w:r>
        <w:t xml:space="preserve">(e.g. UK South ↔ UK West).</w:t>
      </w:r>
    </w:p>
    <w:bookmarkEnd w:id="26"/>
    <w:bookmarkStart w:id="27" w:name="why-this-matters-to-the-board"/>
    <w:p>
      <w:pPr>
        <w:pStyle w:val="Heading3"/>
      </w:pPr>
      <w:r>
        <w:t xml:space="preserve">6.2 Why this matters to the 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 / legal compliance</w:t>
            </w:r>
          </w:p>
        </w:tc>
        <w:tc>
          <w:tcPr/>
          <w:p>
            <w:pPr>
              <w:pStyle w:val="Compact"/>
            </w:pPr>
            <w:r>
              <w:t xml:space="preserve">Each country’s data stays in-country — meeting GDPR, UK GDPR, and equivalent laws.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&amp; sales</w:t>
            </w:r>
          </w:p>
        </w:tc>
        <w:tc>
          <w:tcPr/>
          <w:p>
            <w:pPr>
              <w:pStyle w:val="Compact"/>
            </w:pPr>
            <w:r>
              <w:t xml:space="preserve">Institutions and regulators can be shown exactly where their data lives.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New markets are entered by stamping the blueprint — no rebuild.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A regional incident is contained; other regions are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Controlled cost</w:t>
            </w:r>
          </w:p>
        </w:tc>
        <w:tc>
          <w:tcPr/>
          <w:p>
            <w:pPr>
              <w:pStyle w:val="Compact"/>
            </w:pPr>
            <w:r>
              <w:t xml:space="preserve">Most shared services are amortised across tenants, so per-tenant cost falls as the platform grows.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global registry uses</w:t>
      </w:r>
      <w:r>
        <w:t xml:space="preserve"> </w:t>
      </w:r>
      <w:r>
        <w:rPr>
          <w:b/>
          <w:bCs/>
        </w:rPr>
        <w:t xml:space="preserve">Azure SQL</w:t>
      </w:r>
      <w:r>
        <w:t xml:space="preserve"> </w:t>
      </w:r>
      <w:r>
        <w:t xml:space="preserve">(consistent with the rest of the estate). A globally-distributed database (e.g. Cosmos DB) would only be considered if very high multi-region write throughput is needed in future — it is not required at launch or early growth.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ecurity-governance-compliance"/>
    <w:p>
      <w:pPr>
        <w:pStyle w:val="Heading2"/>
      </w:pPr>
      <w:r>
        <w:t xml:space="preserve">7. Security &amp; Governance / Compliance</w:t>
      </w:r>
    </w:p>
    <w:p>
      <w:pPr>
        <w:pStyle w:val="FirstParagraph"/>
      </w:pPr>
      <w:r>
        <w:t xml:space="preserve">Security and data-protection are</w:t>
      </w:r>
      <w:r>
        <w:t xml:space="preserve"> </w:t>
      </w:r>
      <w:r>
        <w:rPr>
          <w:b/>
          <w:bCs/>
        </w:rPr>
        <w:t xml:space="preserve">engineered into the hosting platform</w:t>
      </w:r>
      <w:r>
        <w:t xml:space="preserve">, not added afterwards. One Edu processes the personal data of</w:t>
      </w:r>
      <w:r>
        <w:t xml:space="preserve"> </w:t>
      </w:r>
      <w:r>
        <w:rPr>
          <w:b/>
          <w:bCs/>
        </w:rPr>
        <w:t xml:space="preserve">children</w:t>
      </w:r>
      <w:r>
        <w:t xml:space="preserve"> </w:t>
      </w:r>
      <w:r>
        <w:t xml:space="preserve">across multiple jurisdictions, so the design assumes the highest bar. This section briefs</w:t>
      </w:r>
      <w:r>
        <w:t xml:space="preserve"> </w:t>
      </w:r>
      <w:r>
        <w:rPr>
          <w:i/>
          <w:iCs/>
        </w:rPr>
        <w:t xml:space="preserve">how the components deliver</w:t>
      </w:r>
      <w:r>
        <w:t xml:space="preserve"> </w:t>
      </w:r>
      <w:r>
        <w:t xml:space="preserve">security (defence-in-depth) and governance (GDPR-class compliance).</w:t>
      </w:r>
    </w:p>
    <w:bookmarkStart w:id="29" w:name="security-defence-in-depth-layer-by-layer"/>
    <w:p>
      <w:pPr>
        <w:pStyle w:val="Heading3"/>
      </w:pPr>
      <w:r>
        <w:t xml:space="preserve">7.1 Security — defence in depth, layer by layer</w:t>
      </w:r>
    </w:p>
    <w:p>
      <w:pPr>
        <w:pStyle w:val="FirstParagraph"/>
      </w:pPr>
      <w:r>
        <w:t xml:space="preserve">Every request passes through multiple independent controls, so no single failure exposes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Delivered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TLS encryption, Web Application Firewall (OWASP rules), volumetric (DDoS) protection</w:t>
            </w:r>
          </w:p>
        </w:tc>
        <w:tc>
          <w:tcPr/>
          <w:p>
            <w:pPr>
              <w:pStyle w:val="Compact"/>
            </w:pPr>
            <w:r>
              <w:t xml:space="preserve">Azure Front Door + WAF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Multi-factor authentication for staff/admins, federated SSO, conditional access; just-in-time (</w:t>
            </w:r>
            <w:r>
              <w:t xml:space="preserve">“break-glass”</w:t>
            </w:r>
            <w:r>
              <w:t xml:space="preserve">) privileged access</w:t>
            </w:r>
          </w:p>
        </w:tc>
        <w:tc>
          <w:tcPr/>
          <w:p>
            <w:pPr>
              <w:pStyle w:val="Compact"/>
            </w:pPr>
            <w:r>
              <w:t xml:space="preserve">Microsoft Entra External ID + PIM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Server-side authorisation (role-based), input validation, per-module entitlement enforcement</w:t>
            </w:r>
          </w:p>
        </w:tc>
        <w:tc>
          <w:tcPr/>
          <w:p>
            <w:pPr>
              <w:pStyle w:val="Compact"/>
            </w:pPr>
            <w:r>
              <w:t xml:space="preserve">Azure App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— isolation</w:t>
            </w:r>
          </w:p>
        </w:tc>
        <w:tc>
          <w:tcPr/>
          <w:p>
            <w:pPr>
              <w:pStyle w:val="Compact"/>
            </w:pPr>
            <w:r>
              <w:t xml:space="preserve">Per-tenant</w:t>
            </w:r>
            <w:r>
              <w:t xml:space="preserve"> </w:t>
            </w:r>
            <w:r>
              <w:rPr>
                <w:b/>
                <w:bCs/>
              </w:rPr>
              <w:t xml:space="preserve">Row-Level Security</w:t>
            </w:r>
            <w:r>
              <w:t xml:space="preserve">; no query path can return another tenant’s rows</w:t>
            </w:r>
          </w:p>
        </w:tc>
        <w:tc>
          <w:tcPr/>
          <w:p>
            <w:pPr>
              <w:pStyle w:val="Compact"/>
            </w:pPr>
            <w:r>
              <w:t xml:space="preserve">Azure SQL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— encryption</w:t>
            </w:r>
          </w:p>
        </w:tc>
        <w:tc>
          <w:tcPr/>
          <w:p>
            <w:pPr>
              <w:pStyle w:val="Compact"/>
            </w:pPr>
            <w:r>
              <w:t xml:space="preserve">TLS in transit; AES-256 at rest; sensitive fields encrypted with</w:t>
            </w:r>
            <w:r>
              <w:t xml:space="preserve"> </w:t>
            </w:r>
            <w:r>
              <w:rPr>
                <w:b/>
                <w:bCs/>
              </w:rPr>
              <w:t xml:space="preserve">per-tenant keys</w:t>
            </w:r>
          </w:p>
        </w:tc>
        <w:tc>
          <w:tcPr/>
          <w:p>
            <w:pPr>
              <w:pStyle w:val="Compact"/>
            </w:pPr>
            <w:r>
              <w:t xml:space="preserve">Azure SQL + Blob Storage + Key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No credentials in code; centralised, access-controlled, automatically rotated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Private-only data tier — no public database endpoint (Phase 2 hardening)</w:t>
            </w:r>
          </w:p>
        </w:tc>
        <w:tc>
          <w:tcPr/>
          <w:p>
            <w:pPr>
              <w:pStyle w:val="Compact"/>
            </w:pPr>
            <w:r>
              <w:t xml:space="preserve">Private Endpoints + Virtual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&amp; response</w:t>
            </w:r>
          </w:p>
        </w:tc>
        <w:tc>
          <w:tcPr/>
          <w:p>
            <w:pPr>
              <w:pStyle w:val="Compact"/>
            </w:pPr>
            <w:r>
              <w:t xml:space="preserve">Threat detection, anomalous-access alerts, vulnerability findings</w:t>
            </w:r>
          </w:p>
        </w:tc>
        <w:tc>
          <w:tcPr/>
          <w:p>
            <w:pPr>
              <w:pStyle w:val="Compact"/>
            </w:pPr>
            <w:r>
              <w:t xml:space="preserve">Microsoft Defender for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Assurance</w:t>
            </w:r>
          </w:p>
        </w:tc>
        <w:tc>
          <w:tcPr/>
          <w:p>
            <w:pPr>
              <w:pStyle w:val="Compact"/>
            </w:pPr>
            <w:r>
              <w:t xml:space="preserve">Independent penetration test before launch; OWASP Top 10 clearance each release</w:t>
            </w:r>
          </w:p>
        </w:tc>
        <w:tc>
          <w:tcPr/>
          <w:p>
            <w:pPr>
              <w:pStyle w:val="Compact"/>
            </w:pPr>
            <w:r>
              <w:t xml:space="preserve">Process / gate</w:t>
            </w:r>
          </w:p>
        </w:tc>
      </w:tr>
    </w:tbl>
    <w:bookmarkEnd w:id="29"/>
    <w:bookmarkStart w:id="30" w:name="X0255c27d0b3609f7e9b468a205086b76a007549"/>
    <w:p>
      <w:pPr>
        <w:pStyle w:val="Heading3"/>
      </w:pPr>
      <w:r>
        <w:t xml:space="preserve">7.2 Governance &amp; data-protection compliance (GDPR-class)</w:t>
      </w:r>
    </w:p>
    <w:p>
      <w:pPr>
        <w:pStyle w:val="FirstParagraph"/>
      </w:pPr>
      <w:r>
        <w:t xml:space="preserve">Each regulatory obligation is mapped to the hosting components that satisfy it — so compliance is demonstrable, not aspirational.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Obligation (GDPR-class)</w:t>
            </w:r>
          </w:p>
        </w:tc>
        <w:tc>
          <w:tcPr/>
          <w:p>
            <w:pPr>
              <w:pStyle w:val="Compact"/>
            </w:pPr>
            <w:r>
              <w:t xml:space="preserve">How the platform meets it</w:t>
            </w:r>
          </w:p>
        </w:tc>
        <w:tc>
          <w:tcPr/>
          <w:p>
            <w:pPr>
              <w:pStyle w:val="Compact"/>
            </w:pPr>
            <w:r>
              <w:t xml:space="preserve">Component(s)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residency</w:t>
            </w:r>
            <w:r>
              <w:t xml:space="preserve"> </w:t>
            </w:r>
            <w:r>
              <w:t xml:space="preserve">— keep data in-country</w:t>
            </w:r>
          </w:p>
        </w:tc>
        <w:tc>
          <w:tcPr/>
          <w:p>
            <w:pPr>
              <w:pStyle w:val="Compact"/>
            </w:pPr>
            <w:r>
              <w:t xml:space="preserve">A tenant’s personal data lives only in its geo-region; the global plane holds</w:t>
            </w:r>
            <w:r>
              <w:t xml:space="preserve"> </w:t>
            </w:r>
            <w:r>
              <w:rPr>
                <w:b/>
                <w:bCs/>
              </w:rPr>
              <w:t xml:space="preserve">non-PII metadata only</w:t>
            </w:r>
          </w:p>
        </w:tc>
        <w:tc>
          <w:tcPr/>
          <w:p>
            <w:pPr>
              <w:pStyle w:val="Compact"/>
            </w:pPr>
            <w:r>
              <w:t xml:space="preserve">Per-region stacks; Azure SQL global registry (non-PII)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 / tenant isolation</w:t>
            </w:r>
          </w:p>
        </w:tc>
        <w:tc>
          <w:tcPr/>
          <w:p>
            <w:pPr>
              <w:pStyle w:val="Compact"/>
            </w:pPr>
            <w:r>
              <w:t xml:space="preserve">Row-Level Security + per-tenant encryption keys make cross-tenant access impossible</w:t>
            </w:r>
          </w:p>
        </w:tc>
        <w:tc>
          <w:tcPr/>
          <w:p>
            <w:pPr>
              <w:pStyle w:val="Compact"/>
            </w:pPr>
            <w:r>
              <w:t xml:space="preserve">Azure SQL, Key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&amp; accountability</w:t>
            </w:r>
          </w:p>
        </w:tc>
        <w:tc>
          <w:tcPr/>
          <w:p>
            <w:pPr>
              <w:pStyle w:val="Compact"/>
            </w:pPr>
            <w:r>
              <w:t xml:space="preserve">Tamper-evident,</w:t>
            </w:r>
            <w:r>
              <w:t xml:space="preserve"> </w:t>
            </w:r>
            <w:r>
              <w:rPr>
                <w:b/>
                <w:bCs/>
              </w:rPr>
              <w:t xml:space="preserve">write-once</w:t>
            </w:r>
            <w:r>
              <w:t xml:space="preserve"> </w:t>
            </w:r>
            <w:r>
              <w:t xml:space="preserve">log of security-significant events (logins, exports, admin changes)</w:t>
            </w:r>
          </w:p>
        </w:tc>
        <w:tc>
          <w:tcPr/>
          <w:p>
            <w:pPr>
              <w:pStyle w:val="Compact"/>
            </w:pPr>
            <w:r>
              <w:t xml:space="preserve">Blob (immutable container) + Log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Data-subject rights (access / erasure / portability)</w:t>
            </w:r>
          </w:p>
        </w:tc>
        <w:tc>
          <w:tcPr/>
          <w:p>
            <w:pPr>
              <w:pStyle w:val="Compact"/>
            </w:pPr>
            <w:r>
              <w:t xml:space="preserve">Records assembled across all modules for a subject; export and erasure workflows with lawful-retention overrides</w:t>
            </w:r>
          </w:p>
        </w:tc>
        <w:tc>
          <w:tcPr/>
          <w:p>
            <w:pPr>
              <w:pStyle w:val="Compact"/>
            </w:pPr>
            <w:r>
              <w:t xml:space="preserve">App Service + Azure SQL / Blob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Lawful basis &amp; consent</w:t>
            </w:r>
          </w:p>
        </w:tc>
        <w:tc>
          <w:tcPr/>
          <w:p>
            <w:pPr>
              <w:pStyle w:val="Compact"/>
            </w:pPr>
            <w:r>
              <w:t xml:space="preserve">Consent and legal basis recorded per processing activity; withdrawal triggers downstream workflows</w:t>
            </w:r>
          </w:p>
        </w:tc>
        <w:tc>
          <w:tcPr/>
          <w:p>
            <w:pPr>
              <w:pStyle w:val="Compact"/>
            </w:pPr>
            <w:r>
              <w:t xml:space="preserve">Application data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&amp; minimisation</w:t>
            </w:r>
          </w:p>
        </w:tc>
        <w:tc>
          <w:tcPr/>
          <w:p>
            <w:pPr>
              <w:pStyle w:val="Compact"/>
            </w:pPr>
            <w:r>
              <w:t xml:space="preserve">Automated purge of records past their retention period; statutory floors enforced</w:t>
            </w:r>
          </w:p>
        </w:tc>
        <w:tc>
          <w:tcPr/>
          <w:p>
            <w:pPr>
              <w:pStyle w:val="Compact"/>
            </w:pPr>
            <w:r>
              <w:t xml:space="preserve">Scheduled jobs + Azure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High-risk processing (DPIA)</w:t>
            </w:r>
          </w:p>
        </w:tc>
        <w:tc>
          <w:tcPr/>
          <w:p>
            <w:pPr>
              <w:pStyle w:val="Compact"/>
            </w:pPr>
            <w:r>
              <w:t xml:space="preserve">Biometric/AI features are blocked until an approved Data Protection Impact Assessment exists</w:t>
            </w:r>
          </w:p>
        </w:tc>
        <w:tc>
          <w:tcPr/>
          <w:p>
            <w:pPr>
              <w:pStyle w:val="Compact"/>
            </w:pPr>
            <w:r>
              <w:t xml:space="preserve">Application governance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 response</w:t>
            </w:r>
          </w:p>
        </w:tc>
        <w:tc>
          <w:tcPr/>
          <w:p>
            <w:pPr>
              <w:pStyle w:val="Compact"/>
            </w:pPr>
            <w:r>
              <w:t xml:space="preserve">Anomaly detection → containment → templated regulator / data-subject notification within the statutory window (e.g. 72h)</w:t>
            </w:r>
          </w:p>
        </w:tc>
        <w:tc>
          <w:tcPr/>
          <w:p>
            <w:pPr>
              <w:pStyle w:val="Compact"/>
            </w:pPr>
            <w:r>
              <w:t xml:space="preserve">Defender for Cloud +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Per-tenant data-residency attestation; AI usage notice to guardians</w:t>
            </w:r>
          </w:p>
        </w:tc>
        <w:tc>
          <w:tcPr/>
          <w:p>
            <w:pPr>
              <w:pStyle w:val="Compact"/>
            </w:pPr>
            <w:r>
              <w:t xml:space="preserve">Control plane +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Children’s data</w:t>
            </w:r>
          </w:p>
        </w:tc>
        <w:tc>
          <w:tcPr/>
          <w:p>
            <w:pPr>
              <w:pStyle w:val="Compact"/>
            </w:pPr>
            <w:r>
              <w:t xml:space="preserve">Maximum-privacy defaults, guardian (or adult-student) consent, no harmful profiling</w:t>
            </w:r>
          </w:p>
        </w:tc>
        <w:tc>
          <w:tcPr/>
          <w:p>
            <w:pPr>
              <w:pStyle w:val="Compact"/>
            </w:pPr>
            <w:r>
              <w:t xml:space="preserve">Application + identity</w:t>
            </w:r>
          </w:p>
        </w:tc>
      </w:tr>
    </w:tbl>
    <w:bookmarkEnd w:id="30"/>
    <w:bookmarkStart w:id="31" w:name="standards-frameworks"/>
    <w:p>
      <w:pPr>
        <w:pStyle w:val="Heading3"/>
      </w:pPr>
      <w:r>
        <w:t xml:space="preserve">7.3 Standards &amp; frameworks</w:t>
      </w:r>
    </w:p>
    <w:p>
      <w:pPr>
        <w:pStyle w:val="FirstParagraph"/>
      </w:pPr>
      <w:r>
        <w:t xml:space="preserve">The platform is designed to support, per geo-region:</w:t>
      </w:r>
      <w:r>
        <w:t xml:space="preserve"> </w:t>
      </w:r>
      <w:r>
        <w:rPr>
          <w:b/>
          <w:bCs/>
        </w:rPr>
        <w:t xml:space="preserve">EU GDPR, UK GDPR &amp; DPA 2018, FERPA, COPPA, PIPEDA, India DPDP, PDPA (Sri Lanka / Singapore / Thailand) and UAE PDPL</w:t>
      </w:r>
      <w:r>
        <w:t xml:space="preserve">, plus UK safeguarding guidance (</w:t>
      </w:r>
      <w:r>
        <w:rPr>
          <w:b/>
          <w:bCs/>
        </w:rPr>
        <w:t xml:space="preserve">KCSIE</w:t>
      </w:r>
      <w:r>
        <w:t xml:space="preserve">) and the</w:t>
      </w:r>
      <w:r>
        <w:t xml:space="preserve"> </w:t>
      </w:r>
      <w:r>
        <w:rPr>
          <w:b/>
          <w:bCs/>
        </w:rPr>
        <w:t xml:space="preserve">ICO Children’s Code</w:t>
      </w:r>
      <w:r>
        <w:t xml:space="preserve">. Targeted platform certifications:</w:t>
      </w:r>
      <w:r>
        <w:t xml:space="preserve"> </w:t>
      </w:r>
      <w:r>
        <w:rPr>
          <w:b/>
          <w:bCs/>
        </w:rPr>
        <w:t xml:space="preserve">ISO 27001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Cyber Essentials Plus</w:t>
      </w:r>
      <w:r>
        <w:t xml:space="preserve"> </w:t>
      </w:r>
      <w:r>
        <w:t xml:space="preserve">for the UK).</w:t>
      </w:r>
    </w:p>
    <w:p>
      <w:pPr>
        <w:pStyle w:val="BlockText"/>
      </w:pPr>
      <w:r>
        <w:rPr>
          <w:b/>
          <w:bCs/>
        </w:rPr>
        <w:t xml:space="preserve">In one line for the Board:</w:t>
      </w:r>
      <w:r>
        <w:t xml:space="preserve"> </w:t>
      </w:r>
      <w:r>
        <w:t xml:space="preserve">data is encrypted, isolated per institution, kept in its own country, fully audited, and every privacy right (access, erasure, consent, breach notification) is supported by a specific component — making One Edu</w:t>
      </w:r>
      <w:r>
        <w:t xml:space="preserve"> </w:t>
      </w:r>
      <w:r>
        <w:rPr>
          <w:i/>
          <w:iCs/>
        </w:rPr>
        <w:t xml:space="preserve">demonstrably</w:t>
      </w:r>
      <w:r>
        <w:t xml:space="preserve"> </w:t>
      </w:r>
      <w:r>
        <w:t xml:space="preserve">compliant, not just compliant on paper.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vailability-dr-scalability-operations"/>
    <w:p>
      <w:pPr>
        <w:pStyle w:val="Heading2"/>
      </w:pPr>
      <w:r>
        <w:t xml:space="preserve">8. Availability, DR, Scalability &amp;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App Service runs ≥2 zone-redundant instances; Azure SQL has built-in in-region HA (99.99%).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t xml:space="preserve">DR region within the same jurisdiction; SQL geo-restore; recovery objectives RTO ≤ 15 min / RPO ≤ 5 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Automated point-in-time recovery (up to 35 days).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App Service auto-scales; database scales by tier/serverless; architecture supports thousands of tenants.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Structured logging, distributed tracing, dashboards and alerting (App Insights / Log Analytics / Grafana).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DEV, UAT and PROD (Section 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environments-indicative-cost"/>
    <w:p>
      <w:pPr>
        <w:pStyle w:val="Heading2"/>
      </w:pPr>
      <w:r>
        <w:t xml:space="preserve">9. Environments &amp; Indicative Cost</w:t>
      </w:r>
    </w:p>
    <w:p>
      <w:pPr>
        <w:pStyle w:val="FirstParagraph"/>
      </w:pPr>
      <w:r>
        <w:t xml:space="preserve">Three environments are maintained, sized to the lowest viable SKUs to control cost. DEV mirrors UAT on the application + database tiers for parity.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Indicative monthly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Active development</w:t>
            </w:r>
          </w:p>
        </w:tc>
        <w:tc>
          <w:tcPr/>
          <w:p>
            <w:pPr>
              <w:pStyle w:val="Compact"/>
            </w:pPr>
            <w:r>
              <w:t xml:space="preserve">~$103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Testing / client demos</w:t>
            </w:r>
          </w:p>
        </w:tc>
        <w:tc>
          <w:tcPr/>
          <w:p>
            <w:pPr>
              <w:pStyle w:val="Compact"/>
            </w:pPr>
            <w:r>
              <w:t xml:space="preserve">~$169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(with HA)</w:t>
            </w:r>
          </w:p>
        </w:tc>
        <w:tc>
          <w:tcPr/>
          <w:p>
            <w:pPr>
              <w:pStyle w:val="Compact"/>
            </w:pPr>
            <w:r>
              <w:t xml:space="preserve">Live institution</w:t>
            </w:r>
          </w:p>
        </w:tc>
        <w:tc>
          <w:tcPr/>
          <w:p>
            <w:pPr>
              <w:pStyle w:val="Compact"/>
            </w:pPr>
            <w:r>
              <w:t xml:space="preserve">~$672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tools &amp; SaaS</w:t>
            </w:r>
          </w:p>
        </w:tc>
        <w:tc>
          <w:tcPr/>
          <w:p>
            <w:pPr>
              <w:pStyle w:val="Compact"/>
            </w:pPr>
            <w:r>
              <w:t xml:space="preserve">Team of 5 (incl. Claude, Azure DevOps, app-store licences)</w:t>
            </w:r>
          </w:p>
        </w:tc>
        <w:tc>
          <w:tcPr/>
          <w:p>
            <w:pPr>
              <w:pStyle w:val="Compact"/>
            </w:pPr>
            <w:r>
              <w:t xml:space="preserve">~$150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 monthly run (excl. manpower)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add-ons (on activation)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 ~$565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breakdown, assumptions and GBP figures are in the companion workbook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CostEstimate-OneEdu-Board.xlsx</w:t>
      </w:r>
      <w:r>
        <w:rPr>
          <w:i/>
          <w:iCs/>
        </w:rPr>
        <w:t xml:space="preserve">. Figures exclude staff costs and variable payment-gateway fees.</w:t>
      </w:r>
    </w:p>
    <w:p>
      <w:r>
        <w:pict>
          <v:rect style="width:0;height:1.5pt" o:hralign="center" o:hrstd="t" o:hr="t"/>
        </w:pict>
      </w:r>
    </w:p>
    <w:bookmarkEnd w:id="34"/>
    <w:bookmarkStart w:id="35" w:name="delivery-roadmap-phasing"/>
    <w:p>
      <w:pPr>
        <w:pStyle w:val="Heading2"/>
      </w:pPr>
      <w:r>
        <w:t xml:space="preserve">10. Delivery Roadmap (Phasing)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Hosting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Launch</w:t>
            </w:r>
          </w:p>
        </w:tc>
        <w:tc>
          <w:tcPr/>
          <w:p>
            <w:pPr>
              <w:pStyle w:val="Compact"/>
            </w:pPr>
            <w:r>
              <w:t xml:space="preserve">First institution, single region, core modules</w:t>
            </w:r>
          </w:p>
        </w:tc>
        <w:tc>
          <w:tcPr/>
          <w:p>
            <w:pPr>
              <w:pStyle w:val="Compact"/>
            </w:pPr>
            <w:r>
              <w:t xml:space="preserve">App Service + Azure SQL + edge/security/monitoring (~$1,094/mo all-in).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Module growth</w:t>
            </w:r>
          </w:p>
        </w:tc>
        <w:tc>
          <w:tcPr/>
          <w:p>
            <w:pPr>
              <w:pStyle w:val="Compact"/>
            </w:pPr>
            <w:r>
              <w:t xml:space="preserve">Real-time, AI, public API, push, hardening</w:t>
            </w:r>
          </w:p>
        </w:tc>
        <w:tc>
          <w:tcPr/>
          <w:p>
            <w:pPr>
              <w:pStyle w:val="Compact"/>
            </w:pPr>
            <w:r>
              <w:t xml:space="preserve">Activate the amber-zone services as each module ships (~$565/mo).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Geographic expansion</w:t>
            </w:r>
          </w:p>
        </w:tc>
        <w:tc>
          <w:tcPr/>
          <w:p>
            <w:pPr>
              <w:pStyle w:val="Compact"/>
            </w:pPr>
            <w:r>
              <w:t xml:space="preserve">New countries/regions</w:t>
            </w:r>
          </w:p>
        </w:tc>
        <w:tc>
          <w:tcPr/>
          <w:p>
            <w:pPr>
              <w:pStyle w:val="Compact"/>
            </w:pPr>
            <w:r>
              <w:t xml:space="preserve">Replicate the regional blueprint; add the global control plane.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ssumptions-risks"/>
    <w:p>
      <w:pPr>
        <w:pStyle w:val="Heading2"/>
      </w:pPr>
      <w:r>
        <w:t xml:space="preserve">11. Assumptions &amp; Risks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 </w:t>
      </w:r>
      <w:r>
        <w:t xml:space="preserve">- Single institution (~5,000 users) at launch; UK South region; Windows on App Service.</w:t>
      </w:r>
      <w:r>
        <w:t xml:space="preserve"> </w:t>
      </w:r>
      <w:r>
        <w:t xml:space="preserve">- Email handled by a separate provider; payment handled by a PCI-DSS-certified gateway.</w:t>
      </w:r>
      <w:r>
        <w:t xml:space="preserve"> </w:t>
      </w:r>
      <w:r>
        <w:t xml:space="preserve">- Costs are list-price estimates; final figures via Azure Pricing Calculator and vendor quotes.</w:t>
      </w:r>
    </w:p>
    <w:p>
      <w:pPr>
        <w:pStyle w:val="BodyText"/>
      </w:pPr>
      <w:r>
        <w:rPr>
          <w:b/>
          <w:bCs/>
        </w:rPr>
        <w:t xml:space="preserve">Key risks &amp; mitigations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Demand growth beyond sizing</w:t>
      </w:r>
      <w:r>
        <w:t xml:space="preserve"> </w:t>
      </w:r>
      <w:r>
        <w:t xml:space="preserve">→ tiers scale on demand; reserved-instance pricing reduces cost.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Regulatory change per market</w:t>
      </w:r>
      <w:r>
        <w:t xml:space="preserve"> </w:t>
      </w:r>
      <w:r>
        <w:t xml:space="preserve">→ per-region data boundaries and configurable compliance profile.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Third-party dependency (payments, push)</w:t>
      </w:r>
      <w:r>
        <w:t xml:space="preserve"> </w:t>
      </w:r>
      <w:r>
        <w:t xml:space="preserve">→ standards-based integrations; replaceable providers.</w:t>
      </w:r>
    </w:p>
    <w:p>
      <w:r>
        <w:pict>
          <v:rect style="width:0;height:1.5pt" o:hralign="center" o:hrstd="t" o:hr="t"/>
        </w:pict>
      </w:r>
    </w:p>
    <w:bookmarkEnd w:id="36"/>
    <w:bookmarkStart w:id="37" w:name="glossary"/>
    <w:p>
      <w:pPr>
        <w:pStyle w:val="Heading2"/>
      </w:pPr>
      <w:r>
        <w:t xml:space="preserve">12.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Platform-as-a-Service — managed cloud services (less to operate than servers).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Web Application Firewall — blocks common web attacks.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 / DR</w:t>
            </w:r>
          </w:p>
        </w:tc>
        <w:tc>
          <w:tcPr/>
          <w:p>
            <w:pPr>
              <w:pStyle w:val="Compact"/>
            </w:pPr>
            <w:r>
              <w:t xml:space="preserve">High Availability / Disaster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/ RPO</w:t>
            </w:r>
          </w:p>
        </w:tc>
        <w:tc>
          <w:tcPr/>
          <w:p>
            <w:pPr>
              <w:pStyle w:val="Compact"/>
            </w:pPr>
            <w:r>
              <w:t xml:space="preserve">Recovery Time / Point Objective — max acceptable downtime / data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 single subscribing institution and its isolated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Row-Level Security (RLS)</w:t>
            </w:r>
          </w:p>
        </w:tc>
        <w:tc>
          <w:tcPr/>
          <w:p>
            <w:pPr>
              <w:pStyle w:val="Compact"/>
            </w:pPr>
            <w:r>
              <w:t xml:space="preserve">Database feature enforcing that each tenant sees only its own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Geo-region</w:t>
            </w:r>
          </w:p>
        </w:tc>
        <w:tc>
          <w:tcPr/>
          <w:p>
            <w:pPr>
              <w:pStyle w:val="Compact"/>
            </w:pPr>
            <w:r>
              <w:t xml:space="preserve">A compliance/data-residency boundary mapping to Azure regions.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Edu ID</w:t>
            </w:r>
          </w:p>
        </w:tc>
        <w:tc>
          <w:tcPr/>
          <w:p>
            <w:pPr>
              <w:pStyle w:val="Compact"/>
            </w:pPr>
            <w:r>
              <w:t xml:space="preserve">Platform-wide unique student identifier, consistent across institutions.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PITR</w:t>
            </w:r>
          </w:p>
        </w:tc>
        <w:tc>
          <w:tcPr/>
          <w:p>
            <w:pPr>
              <w:pStyle w:val="Compact"/>
            </w:pPr>
            <w:r>
              <w:t xml:space="preserve">Point-In-Time Recovery (database restore).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board review. Diagrams are available at full resolution in the project’s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folder; detailed costs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CostEstimate-OneEdu-Board.xlsx</w:t>
      </w:r>
      <w:r>
        <w:rPr>
          <w:i/>
          <w:iCs/>
        </w:rPr>
        <w:t xml:space="preserve">.</w:t>
      </w:r>
    </w:p>
    <w:bookmarkEnd w:id="37"/>
    <w:bookmarkEnd w:id="38"/>
    <w:sectPr>
      <w:footerReference w:type="default" r:id="rId13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One Edu · Confidential          Page </w:t>
    </w:r>
    <w:r>
      <w:rPr>
        <w:color w:val="6B6B6B"/>
        <w:sz w:val="16"/>
      </w:rPr>
      <w:fldChar w:fldCharType="begin"/>
      <w:instrText xml:space="preserve">PAGE</w:instrText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One Edu · Confidential          Page </w:t>
    </w:r>
    <w:r>
      <w:rPr>
        <w:color w:val="6B6B6B"/>
        <w:sz w:val="16"/>
      </w:rPr>
      <w:fldChar w:fldCharType="begin"/>
      <w:instrText xml:space="preserve">PAGE</w:instrText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</w:rPr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One Edu · Confidential          Page </w:t>
    </w:r>
    <w:r>
      <w:rPr>
        <w:color w:val="6B6B6B"/>
        <w:sz w:val="16"/>
      </w:rPr>
      <w:fldChar w:fldCharType="begin"/>
      <w:instrText xml:space="preserve">PAGE</w:instrText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</w:rPr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One Edu · Confidential          Page </w:t>
    </w:r>
    <w:r>
      <w:rPr>
        <w:color w:val="6B6B6B"/>
        <w:sz w:val="16"/>
      </w:rPr>
      <w:fldChar w:fldCharType="begin"/>
      <w:instrText xml:space="preserve">PAGE</w:instrText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</w:rPr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 xml:space="preserve">One Edu · Confidential          Page </w:t>
    </w:r>
    <w:r>
      <w:rPr>
        <w:color w:val="6B6B6B"/>
        <w:sz w:val="16"/>
      </w:rPr>
      <w:fldChar w:fldCharType="begin"/>
      <w:instrText xml:space="preserve">PAGE</w:instrText>
      <w:fldChar w:fldCharType="end"/>
    </w:r>
    <w:r>
      <w:rPr>
        <w:color w:val="6B6B6B"/>
        <w:sz w:val="16"/>
      </w:rPr>
      <w:t xml:space="preserve"> of </w:t>
    </w:r>
    <w:r>
      <w:rPr>
        <w:color w:val="6B6B6B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5" Type="http://schemas.openxmlformats.org/officeDocument/2006/relationships/image" Target="media/rId15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2026-06-05T09:49:24Z</dcterms:created>
  <dcterms:modified xsi:type="dcterms:W3CDTF">2026-06-05T09:49:24Z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