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94BE6" w14:textId="77777777" w:rsidR="009C13F9" w:rsidRDefault="009C13F9" w:rsidP="007921B7">
      <w:pPr>
        <w:spacing w:after="0" w:line="168" w:lineRule="auto"/>
        <w:jc w:val="center"/>
        <w:rPr>
          <w:color w:val="548DD4" w:themeColor="text2" w:themeTint="99"/>
          <w:sz w:val="420"/>
          <w:szCs w:val="420"/>
        </w:rPr>
      </w:pPr>
    </w:p>
    <w:p w14:paraId="4CA49F8D" w14:textId="14031AD6" w:rsidR="007921B7" w:rsidRDefault="007921B7" w:rsidP="007921B7">
      <w:pPr>
        <w:spacing w:after="0" w:line="168" w:lineRule="auto"/>
        <w:jc w:val="center"/>
        <w:rPr>
          <w:color w:val="548DD4" w:themeColor="text2" w:themeTint="99"/>
          <w:sz w:val="420"/>
          <w:szCs w:val="420"/>
        </w:rPr>
      </w:pPr>
      <w:r>
        <w:rPr>
          <w:color w:val="548DD4" w:themeColor="text2" w:themeTint="99"/>
          <w:sz w:val="420"/>
          <w:szCs w:val="420"/>
        </w:rPr>
        <w:t>F</w:t>
      </w:r>
      <w:r w:rsidRPr="007921B7">
        <w:rPr>
          <w:color w:val="548DD4" w:themeColor="text2" w:themeTint="99"/>
          <w:sz w:val="420"/>
          <w:szCs w:val="420"/>
        </w:rPr>
        <w:t>FT</w:t>
      </w:r>
    </w:p>
    <w:p w14:paraId="0B557024" w14:textId="759A1D42" w:rsidR="009C13F9" w:rsidRDefault="007921B7" w:rsidP="009C13F9">
      <w:pPr>
        <w:spacing w:after="0" w:line="192" w:lineRule="auto"/>
        <w:jc w:val="center"/>
        <w:rPr>
          <w:color w:val="548DD4" w:themeColor="text2" w:themeTint="99"/>
          <w:sz w:val="144"/>
          <w:szCs w:val="144"/>
        </w:rPr>
      </w:pPr>
      <w:r>
        <w:rPr>
          <w:color w:val="548DD4" w:themeColor="text2" w:themeTint="99"/>
          <w:sz w:val="144"/>
          <w:szCs w:val="144"/>
        </w:rPr>
        <w:t xml:space="preserve">MEMORIA </w:t>
      </w:r>
      <w:r w:rsidRPr="007921B7">
        <w:rPr>
          <w:color w:val="548DD4" w:themeColor="text2" w:themeTint="99"/>
          <w:sz w:val="144"/>
          <w:szCs w:val="144"/>
        </w:rPr>
        <w:t>P</w:t>
      </w:r>
      <w:r>
        <w:rPr>
          <w:color w:val="548DD4" w:themeColor="text2" w:themeTint="99"/>
          <w:sz w:val="144"/>
          <w:szCs w:val="144"/>
        </w:rPr>
        <w:t>R</w:t>
      </w:r>
      <w:r w:rsidR="009C13F9">
        <w:rPr>
          <w:color w:val="548DD4" w:themeColor="text2" w:themeTint="99"/>
          <w:sz w:val="144"/>
          <w:szCs w:val="144"/>
        </w:rPr>
        <w:t>Á</w:t>
      </w:r>
      <w:r>
        <w:rPr>
          <w:color w:val="548DD4" w:themeColor="text2" w:themeTint="99"/>
          <w:sz w:val="144"/>
          <w:szCs w:val="144"/>
        </w:rPr>
        <w:t>CTICA</w:t>
      </w:r>
      <w:r w:rsidRPr="007921B7">
        <w:rPr>
          <w:color w:val="548DD4" w:themeColor="text2" w:themeTint="99"/>
          <w:sz w:val="144"/>
          <w:szCs w:val="144"/>
        </w:rPr>
        <w:t xml:space="preserve"> </w:t>
      </w:r>
      <w:r w:rsidR="009C13F9">
        <w:rPr>
          <w:color w:val="548DD4" w:themeColor="text2" w:themeTint="99"/>
          <w:sz w:val="144"/>
          <w:szCs w:val="144"/>
        </w:rPr>
        <w:t>3</w:t>
      </w:r>
    </w:p>
    <w:p w14:paraId="2B6B515A" w14:textId="4F1CBAEB" w:rsidR="009C13F9" w:rsidRDefault="009C13F9" w:rsidP="009C13F9">
      <w:pPr>
        <w:spacing w:after="0" w:line="192" w:lineRule="auto"/>
        <w:jc w:val="center"/>
        <w:rPr>
          <w:color w:val="548DD4" w:themeColor="text2" w:themeTint="99"/>
          <w:sz w:val="144"/>
          <w:szCs w:val="144"/>
        </w:rPr>
      </w:pPr>
    </w:p>
    <w:p w14:paraId="1C3B9F51" w14:textId="77777777" w:rsidR="009C13F9" w:rsidRPr="007921B7" w:rsidRDefault="009C13F9" w:rsidP="009C13F9">
      <w:pPr>
        <w:spacing w:after="0" w:line="192" w:lineRule="auto"/>
        <w:jc w:val="center"/>
        <w:rPr>
          <w:color w:val="548DD4" w:themeColor="text2" w:themeTint="99"/>
          <w:sz w:val="144"/>
          <w:szCs w:val="144"/>
        </w:rPr>
      </w:pPr>
    </w:p>
    <w:p w14:paraId="40090EB0" w14:textId="7223F3FB" w:rsidR="004806F9" w:rsidRPr="009C13F9" w:rsidRDefault="004806F9" w:rsidP="009C13F9">
      <w:pPr>
        <w:jc w:val="center"/>
        <w:rPr>
          <w:b/>
          <w:bCs/>
          <w:color w:val="7F7F7F" w:themeColor="text1" w:themeTint="80"/>
          <w:sz w:val="40"/>
          <w:szCs w:val="40"/>
        </w:rPr>
      </w:pPr>
      <w:r w:rsidRPr="009C13F9">
        <w:rPr>
          <w:b/>
          <w:bCs/>
          <w:color w:val="7F7F7F" w:themeColor="text1" w:themeTint="80"/>
          <w:sz w:val="40"/>
          <w:szCs w:val="40"/>
        </w:rPr>
        <w:t>Pablo Luque Salguero</w:t>
      </w:r>
      <w:r w:rsidR="009C13F9" w:rsidRPr="009C13F9">
        <w:rPr>
          <w:b/>
          <w:bCs/>
          <w:color w:val="7F7F7F" w:themeColor="text1" w:themeTint="80"/>
          <w:sz w:val="40"/>
          <w:szCs w:val="40"/>
        </w:rPr>
        <w:t xml:space="preserve"> - </w:t>
      </w:r>
      <w:r w:rsidRPr="009C13F9">
        <w:rPr>
          <w:b/>
          <w:bCs/>
          <w:color w:val="7F7F7F" w:themeColor="text1" w:themeTint="80"/>
          <w:sz w:val="40"/>
          <w:szCs w:val="40"/>
        </w:rPr>
        <w:t xml:space="preserve">David Martínez Díaz </w:t>
      </w:r>
    </w:p>
    <w:p w14:paraId="264C6C92" w14:textId="77777777" w:rsidR="009C13F9" w:rsidRDefault="009C13F9">
      <w:r>
        <w:br w:type="page"/>
      </w:r>
    </w:p>
    <w:p w14:paraId="3BEEDFED" w14:textId="5EF2DE71" w:rsidR="004806F9" w:rsidRPr="000155A6" w:rsidRDefault="004806F9" w:rsidP="007921B7">
      <w:pPr>
        <w:rPr>
          <w:b/>
          <w:bCs/>
          <w:color w:val="548DD4" w:themeColor="text2" w:themeTint="99"/>
        </w:rPr>
      </w:pPr>
      <w:r w:rsidRPr="000155A6">
        <w:rPr>
          <w:b/>
          <w:bCs/>
          <w:color w:val="548DD4" w:themeColor="text2" w:themeTint="99"/>
        </w:rPr>
        <w:lastRenderedPageBreak/>
        <w:t>1.- Objetivos:</w:t>
      </w:r>
    </w:p>
    <w:p w14:paraId="444E8E89" w14:textId="215D3A53" w:rsidR="00B82E21" w:rsidRDefault="00B82E21" w:rsidP="000155A6">
      <w:pPr>
        <w:ind w:firstLine="708"/>
        <w:jc w:val="both"/>
      </w:pPr>
      <w:r>
        <w:t xml:space="preserve">El objetivo de esta práctica pretende en caracterizar un transistor MOSFET. Para comprender el funcionamiento de este transistor, se medirán las característica I-V, se determinaran los parámetros de un MOSFET de canal N (NMOSFET) y se medirá su característica de transferencia. </w:t>
      </w:r>
    </w:p>
    <w:p w14:paraId="4D1FC33B" w14:textId="7CDF4CAE" w:rsidR="00DA1A46" w:rsidRDefault="00DA1A46" w:rsidP="000155A6">
      <w:pPr>
        <w:ind w:firstLine="708"/>
        <w:jc w:val="both"/>
      </w:pPr>
      <w:r>
        <w:t xml:space="preserve">Una vez recogido todos los resultados, se </w:t>
      </w:r>
      <w:r w:rsidR="00137BE0">
        <w:t>creará</w:t>
      </w:r>
      <w:r>
        <w:t xml:space="preserve"> </w:t>
      </w:r>
      <w:r w:rsidR="00B82E21">
        <w:t>grafico donde se podrá observar el comportamiento del transistor NMOSFET</w:t>
      </w:r>
      <w:r>
        <w:t xml:space="preserve">, </w:t>
      </w:r>
      <w:r w:rsidR="00B82E21">
        <w:t>por sus diferentes puertos (6, 13 y 14 en este caso).</w:t>
      </w:r>
    </w:p>
    <w:p w14:paraId="56917A2F" w14:textId="2BFB05A7" w:rsidR="004806F9" w:rsidRPr="000155A6" w:rsidRDefault="00DA1A46" w:rsidP="008723FF">
      <w:pPr>
        <w:jc w:val="both"/>
        <w:rPr>
          <w:b/>
          <w:bCs/>
          <w:color w:val="548DD4" w:themeColor="text2" w:themeTint="99"/>
        </w:rPr>
      </w:pPr>
      <w:r w:rsidRPr="000155A6">
        <w:rPr>
          <w:b/>
          <w:bCs/>
          <w:color w:val="548DD4" w:themeColor="text2" w:themeTint="99"/>
        </w:rPr>
        <w:t xml:space="preserve">2.- Fundamento </w:t>
      </w:r>
      <w:r w:rsidR="00E64CC5" w:rsidRPr="000155A6">
        <w:rPr>
          <w:b/>
          <w:bCs/>
          <w:color w:val="548DD4" w:themeColor="text2" w:themeTint="99"/>
        </w:rPr>
        <w:t>teórico</w:t>
      </w:r>
      <w:r w:rsidRPr="000155A6">
        <w:rPr>
          <w:b/>
          <w:bCs/>
          <w:color w:val="548DD4" w:themeColor="text2" w:themeTint="99"/>
        </w:rPr>
        <w:t>:</w:t>
      </w:r>
    </w:p>
    <w:p w14:paraId="7D75A0F9" w14:textId="7DB81BA6" w:rsidR="00B82E21" w:rsidRDefault="00A80ACD" w:rsidP="008723FF">
      <w:pPr>
        <w:jc w:val="both"/>
      </w:pPr>
      <w:r>
        <w:tab/>
      </w:r>
      <w:r w:rsidR="00B82E21">
        <w:t xml:space="preserve">El </w:t>
      </w:r>
      <w:r w:rsidR="00B82E21" w:rsidRPr="00792A5D">
        <w:rPr>
          <w:b/>
          <w:i/>
        </w:rPr>
        <w:t>transistor MOSFET</w:t>
      </w:r>
      <w:r w:rsidR="00B82E21">
        <w:t xml:space="preserve"> es un dispositivo de tres terminales llamados puerta, </w:t>
      </w:r>
      <w:proofErr w:type="spellStart"/>
      <w:r w:rsidR="00B82E21">
        <w:t>drenador</w:t>
      </w:r>
      <w:proofErr w:type="spellEnd"/>
      <w:r w:rsidR="00B82E21">
        <w:t xml:space="preserve"> y fuente. La corriente que circula entre los terminales de fuente y </w:t>
      </w:r>
      <w:proofErr w:type="spellStart"/>
      <w:r w:rsidR="00B82E21">
        <w:t>drenador</w:t>
      </w:r>
      <w:proofErr w:type="spellEnd"/>
      <w:r w:rsidR="00B82E21">
        <w:t xml:space="preserve"> se controla a través del terminal de puerta. MOSFET son las siglas de Metal Oxide Semiconductor Field </w:t>
      </w:r>
      <w:proofErr w:type="spellStart"/>
      <w:r w:rsidR="00B82E21">
        <w:t>Effect</w:t>
      </w:r>
      <w:proofErr w:type="spellEnd"/>
      <w:r w:rsidR="00B82E21">
        <w:t xml:space="preserve"> Transistor y, como su propio nombre indica, es un transistor de efecto de campo basado en la estructura MOS.</w:t>
      </w:r>
    </w:p>
    <w:p w14:paraId="1B09B50E" w14:textId="3B0F8ABE" w:rsidR="00B82E21" w:rsidRDefault="00B82E21" w:rsidP="00B82E21">
      <w:pPr>
        <w:ind w:firstLine="708"/>
        <w:jc w:val="both"/>
      </w:pPr>
      <w:r>
        <w:t>En cuanto a su funcionamiento, pueden distinguirse tres modos de operación que dependerán de la relación entre los voltajes de los terminales:</w:t>
      </w:r>
    </w:p>
    <w:p w14:paraId="51D8FC59" w14:textId="77777777" w:rsidR="00B82E21" w:rsidRDefault="00B82E21" w:rsidP="00B82E21">
      <w:pPr>
        <w:pStyle w:val="Prrafodelista"/>
        <w:numPr>
          <w:ilvl w:val="0"/>
          <w:numId w:val="9"/>
        </w:numPr>
        <w:jc w:val="both"/>
      </w:pPr>
      <w:r w:rsidRPr="00792A5D">
        <w:rPr>
          <w:b/>
          <w:i/>
        </w:rPr>
        <w:t>Región de Corte</w:t>
      </w:r>
      <w:r>
        <w:t xml:space="preserve">. En este modo, el transistor no funciona, esto es, no hay corriente entre fuente y </w:t>
      </w:r>
      <w:proofErr w:type="spellStart"/>
      <w:r>
        <w:t>drenador</w:t>
      </w:r>
      <w:proofErr w:type="spellEnd"/>
      <w:r>
        <w:t xml:space="preserve">. </w:t>
      </w:r>
    </w:p>
    <w:p w14:paraId="357BD7DB" w14:textId="7A254AC6" w:rsidR="00B82E21" w:rsidRDefault="00B82E21" w:rsidP="00B82E21">
      <w:pPr>
        <w:pStyle w:val="Prrafodelista"/>
        <w:ind w:firstLine="696"/>
        <w:jc w:val="both"/>
      </w:pPr>
      <w:r>
        <w:t xml:space="preserve">VGS &lt; </w:t>
      </w:r>
      <w:proofErr w:type="spellStart"/>
      <w:r>
        <w:t>Vth</w:t>
      </w:r>
      <w:proofErr w:type="spellEnd"/>
      <w:r>
        <w:t xml:space="preserve"> </w:t>
      </w:r>
      <w:r>
        <w:sym w:font="Wingdings" w:char="F0E0"/>
      </w:r>
      <w:r>
        <w:t xml:space="preserve"> [</w:t>
      </w:r>
      <w:proofErr w:type="spellStart"/>
      <w:r>
        <w:t>Vth</w:t>
      </w:r>
      <w:proofErr w:type="spellEnd"/>
      <w:r>
        <w:t xml:space="preserve"> es la tensión umbral del dispositivo].</w:t>
      </w:r>
    </w:p>
    <w:p w14:paraId="79F13499" w14:textId="77777777" w:rsidR="00B82E21" w:rsidRDefault="00B82E21" w:rsidP="00B82E21">
      <w:pPr>
        <w:pStyle w:val="Prrafodelista"/>
        <w:jc w:val="both"/>
      </w:pPr>
    </w:p>
    <w:p w14:paraId="04CBEB42" w14:textId="2E27BE63" w:rsidR="00792A5D" w:rsidRDefault="00B82E21" w:rsidP="00792A5D">
      <w:pPr>
        <w:pStyle w:val="Prrafodelista"/>
        <w:numPr>
          <w:ilvl w:val="0"/>
          <w:numId w:val="9"/>
        </w:numPr>
        <w:jc w:val="both"/>
      </w:pPr>
      <w:r w:rsidRPr="00792A5D">
        <w:rPr>
          <w:b/>
          <w:i/>
        </w:rPr>
        <w:t xml:space="preserve">Región </w:t>
      </w:r>
      <w:r w:rsidR="0043406C">
        <w:rPr>
          <w:b/>
          <w:i/>
        </w:rPr>
        <w:t xml:space="preserve">Lineal o </w:t>
      </w:r>
      <w:proofErr w:type="spellStart"/>
      <w:r w:rsidR="0043406C">
        <w:rPr>
          <w:b/>
          <w:i/>
        </w:rPr>
        <w:t>Triodo</w:t>
      </w:r>
      <w:proofErr w:type="spellEnd"/>
      <w:r>
        <w:t xml:space="preserve">. En este modo, el transistor esta encendido y el canal que se crea entre fuente y </w:t>
      </w:r>
      <w:proofErr w:type="spellStart"/>
      <w:r>
        <w:t>drenador</w:t>
      </w:r>
      <w:proofErr w:type="spellEnd"/>
      <w:r>
        <w:t xml:space="preserve"> permite la circulación de corriente entre ambos. Este modo se produce cuando VGS &gt; </w:t>
      </w:r>
      <w:proofErr w:type="spellStart"/>
      <w:r>
        <w:t>Vth</w:t>
      </w:r>
      <w:proofErr w:type="spellEnd"/>
      <w:r>
        <w:t xml:space="preserve"> y VDS &lt; (VGS − </w:t>
      </w:r>
      <w:proofErr w:type="spellStart"/>
      <w:r>
        <w:t>Vth</w:t>
      </w:r>
      <w:proofErr w:type="spellEnd"/>
      <w:r>
        <w:t xml:space="preserve">). La corriente que circula entre la </w:t>
      </w:r>
      <w:r w:rsidR="00792A5D">
        <w:t xml:space="preserve">fuente y el </w:t>
      </w:r>
      <w:proofErr w:type="spellStart"/>
      <w:r w:rsidR="00792A5D">
        <w:t>drenador</w:t>
      </w:r>
      <w:proofErr w:type="spellEnd"/>
      <w:r w:rsidR="00792A5D">
        <w:t xml:space="preserve"> es: </w:t>
      </w:r>
    </w:p>
    <w:p w14:paraId="2A43260C" w14:textId="77777777" w:rsidR="00792A5D" w:rsidRDefault="00792A5D" w:rsidP="00792A5D">
      <w:pPr>
        <w:pStyle w:val="Prrafodelista"/>
        <w:jc w:val="both"/>
      </w:pPr>
    </w:p>
    <w:p w14:paraId="1ED64B51" w14:textId="77777777" w:rsidR="00792A5D" w:rsidRDefault="00792A5D" w:rsidP="00792A5D">
      <w:pPr>
        <w:pStyle w:val="Prrafodelista"/>
        <w:ind w:firstLine="696"/>
        <w:jc w:val="both"/>
      </w:pPr>
      <w:r>
        <w:t>ID = µ</w:t>
      </w:r>
      <w:r>
        <w:rPr>
          <w:vertAlign w:val="subscript"/>
        </w:rPr>
        <w:t>n</w:t>
      </w:r>
      <w:r>
        <w:t xml:space="preserve"> * C</w:t>
      </w:r>
      <w:r>
        <w:rPr>
          <w:vertAlign w:val="subscript"/>
        </w:rPr>
        <w:t>ox</w:t>
      </w:r>
      <w:r>
        <w:t xml:space="preserve"> (W/L) *[(VGS − </w:t>
      </w:r>
      <w:proofErr w:type="spellStart"/>
      <w:r>
        <w:t>Vth</w:t>
      </w:r>
      <w:proofErr w:type="spellEnd"/>
      <w:r>
        <w:t>) * V</w:t>
      </w:r>
      <w:r>
        <w:rPr>
          <w:vertAlign w:val="subscript"/>
        </w:rPr>
        <w:t>DS</w:t>
      </w:r>
      <w:r>
        <w:t xml:space="preserve"> – (</w:t>
      </w:r>
      <w:r w:rsidRPr="00792A5D">
        <w:t>V</w:t>
      </w:r>
      <w:r>
        <w:rPr>
          <w:vertAlign w:val="superscript"/>
        </w:rPr>
        <w:t>2</w:t>
      </w:r>
      <w:r>
        <w:t xml:space="preserve"> </w:t>
      </w:r>
      <w:r>
        <w:rPr>
          <w:vertAlign w:val="subscript"/>
        </w:rPr>
        <w:t xml:space="preserve">DS </w:t>
      </w:r>
      <w:r>
        <w:t>/ 2)].</w:t>
      </w:r>
    </w:p>
    <w:p w14:paraId="1E141CCC" w14:textId="77777777" w:rsidR="00792A5D" w:rsidRDefault="00792A5D" w:rsidP="00792A5D">
      <w:pPr>
        <w:pStyle w:val="Prrafodelista"/>
        <w:ind w:firstLine="696"/>
        <w:jc w:val="both"/>
      </w:pPr>
    </w:p>
    <w:p w14:paraId="04A184B2" w14:textId="77777777" w:rsidR="00792A5D" w:rsidRDefault="00792A5D" w:rsidP="00792A5D">
      <w:pPr>
        <w:pStyle w:val="Prrafodelista"/>
        <w:numPr>
          <w:ilvl w:val="0"/>
          <w:numId w:val="10"/>
        </w:numPr>
        <w:jc w:val="both"/>
      </w:pPr>
      <w:r>
        <w:t>µ</w:t>
      </w:r>
      <w:r>
        <w:rPr>
          <w:vertAlign w:val="subscript"/>
        </w:rPr>
        <w:t>n</w:t>
      </w:r>
      <w:r>
        <w:t>: movilidad efectiva de los portadores.</w:t>
      </w:r>
    </w:p>
    <w:p w14:paraId="436C5830" w14:textId="77777777" w:rsidR="00792A5D" w:rsidRDefault="00792A5D" w:rsidP="00792A5D">
      <w:pPr>
        <w:pStyle w:val="Prrafodelista"/>
        <w:numPr>
          <w:ilvl w:val="0"/>
          <w:numId w:val="10"/>
        </w:numPr>
        <w:jc w:val="both"/>
      </w:pPr>
      <w:r>
        <w:t>W es la anchura de la puerta.</w:t>
      </w:r>
    </w:p>
    <w:p w14:paraId="2E7FF3C5" w14:textId="77777777" w:rsidR="00792A5D" w:rsidRDefault="00792A5D" w:rsidP="00792A5D">
      <w:pPr>
        <w:pStyle w:val="Prrafodelista"/>
        <w:numPr>
          <w:ilvl w:val="0"/>
          <w:numId w:val="10"/>
        </w:numPr>
        <w:jc w:val="both"/>
      </w:pPr>
      <w:r>
        <w:t xml:space="preserve">L es su longitud. </w:t>
      </w:r>
    </w:p>
    <w:p w14:paraId="7DB7873B" w14:textId="77777777" w:rsidR="00792A5D" w:rsidRDefault="00792A5D" w:rsidP="00792A5D">
      <w:pPr>
        <w:pStyle w:val="Prrafodelista"/>
        <w:numPr>
          <w:ilvl w:val="0"/>
          <w:numId w:val="10"/>
        </w:numPr>
        <w:jc w:val="both"/>
      </w:pPr>
      <w:r>
        <w:t>C</w:t>
      </w:r>
      <w:r>
        <w:rPr>
          <w:vertAlign w:val="subscript"/>
        </w:rPr>
        <w:t>ox</w:t>
      </w:r>
      <w:r>
        <w:t xml:space="preserve"> es la capacidad del </w:t>
      </w:r>
      <w:proofErr w:type="spellStart"/>
      <w:r>
        <w:t>oxido</w:t>
      </w:r>
      <w:proofErr w:type="spellEnd"/>
      <w:r>
        <w:t xml:space="preserve"> de puerta por unidad de ´área.</w:t>
      </w:r>
    </w:p>
    <w:p w14:paraId="19063970" w14:textId="77777777" w:rsidR="00792A5D" w:rsidRDefault="00792A5D" w:rsidP="00792A5D">
      <w:pPr>
        <w:pStyle w:val="Prrafodelista"/>
        <w:jc w:val="both"/>
      </w:pPr>
    </w:p>
    <w:p w14:paraId="1D6D8409" w14:textId="77777777" w:rsidR="00792A5D" w:rsidRDefault="00792A5D" w:rsidP="00792A5D">
      <w:pPr>
        <w:pStyle w:val="Prrafodelista"/>
        <w:numPr>
          <w:ilvl w:val="0"/>
          <w:numId w:val="9"/>
        </w:numPr>
        <w:jc w:val="both"/>
      </w:pPr>
      <w:r w:rsidRPr="00792A5D">
        <w:rPr>
          <w:b/>
          <w:i/>
        </w:rPr>
        <w:t>Región de Saturación</w:t>
      </w:r>
      <w:r>
        <w:t xml:space="preserve">. Este modo se produce cuando VGS &gt; </w:t>
      </w:r>
      <w:proofErr w:type="spellStart"/>
      <w:r>
        <w:t>Vth</w:t>
      </w:r>
      <w:proofErr w:type="spellEnd"/>
      <w:r>
        <w:t xml:space="preserve"> y VDS &gt; (VGS − </w:t>
      </w:r>
      <w:proofErr w:type="spellStart"/>
      <w:r>
        <w:t>Vth</w:t>
      </w:r>
      <w:proofErr w:type="spellEnd"/>
      <w:r>
        <w:t xml:space="preserve">). </w:t>
      </w:r>
    </w:p>
    <w:p w14:paraId="7756E73A" w14:textId="77777777" w:rsidR="00792A5D" w:rsidRDefault="00792A5D" w:rsidP="00792A5D">
      <w:pPr>
        <w:pStyle w:val="Prrafodelista"/>
        <w:jc w:val="both"/>
      </w:pPr>
      <w:r>
        <w:t xml:space="preserve">La corriente que circula entre la fuente y el </w:t>
      </w:r>
      <w:proofErr w:type="spellStart"/>
      <w:r>
        <w:t>drenador</w:t>
      </w:r>
      <w:proofErr w:type="spellEnd"/>
      <w:r>
        <w:t xml:space="preserve"> es: </w:t>
      </w:r>
    </w:p>
    <w:p w14:paraId="5E0246D0" w14:textId="77777777" w:rsidR="00792A5D" w:rsidRDefault="00792A5D" w:rsidP="00792A5D">
      <w:pPr>
        <w:pStyle w:val="Prrafodelista"/>
        <w:jc w:val="both"/>
      </w:pPr>
    </w:p>
    <w:p w14:paraId="34989F51" w14:textId="5F9E703A" w:rsidR="00792A5D" w:rsidRPr="00792A5D" w:rsidRDefault="00792A5D" w:rsidP="00792A5D">
      <w:pPr>
        <w:pStyle w:val="Prrafodelista"/>
        <w:ind w:firstLine="696"/>
        <w:jc w:val="both"/>
        <w:rPr>
          <w:vertAlign w:val="superscript"/>
          <w:lang w:val="en-US"/>
        </w:rPr>
      </w:pPr>
      <w:r w:rsidRPr="00792A5D">
        <w:rPr>
          <w:lang w:val="en-US"/>
        </w:rPr>
        <w:t>ID = µ</w:t>
      </w:r>
      <w:r w:rsidRPr="00792A5D">
        <w:rPr>
          <w:vertAlign w:val="subscript"/>
          <w:lang w:val="en-US"/>
        </w:rPr>
        <w:t>n</w:t>
      </w:r>
      <w:r w:rsidRPr="00792A5D">
        <w:rPr>
          <w:lang w:val="en-US"/>
        </w:rPr>
        <w:t xml:space="preserve"> </w:t>
      </w:r>
      <w:r>
        <w:rPr>
          <w:lang w:val="en-US"/>
        </w:rPr>
        <w:t xml:space="preserve">* </w:t>
      </w:r>
      <w:r w:rsidRPr="00792A5D">
        <w:rPr>
          <w:lang w:val="en-US"/>
        </w:rPr>
        <w:t>C</w:t>
      </w:r>
      <w:r>
        <w:rPr>
          <w:vertAlign w:val="subscript"/>
          <w:lang w:val="en-US"/>
        </w:rPr>
        <w:t>ox</w:t>
      </w:r>
      <w:r w:rsidRPr="00792A5D">
        <w:rPr>
          <w:lang w:val="en-US"/>
        </w:rPr>
        <w:t xml:space="preserve"> </w:t>
      </w:r>
      <w:r>
        <w:rPr>
          <w:lang w:val="en-US"/>
        </w:rPr>
        <w:t>* (W/L)</w:t>
      </w:r>
      <w:r w:rsidRPr="00792A5D">
        <w:rPr>
          <w:lang w:val="en-US"/>
        </w:rPr>
        <w:t xml:space="preserve"> </w:t>
      </w:r>
      <w:r>
        <w:rPr>
          <w:lang w:val="en-US"/>
        </w:rPr>
        <w:t>* (VGS − Vth</w:t>
      </w:r>
      <w:proofErr w:type="gramStart"/>
      <w:r>
        <w:rPr>
          <w:lang w:val="en-US"/>
        </w:rPr>
        <w:t>)</w:t>
      </w:r>
      <w:r>
        <w:rPr>
          <w:vertAlign w:val="superscript"/>
          <w:lang w:val="en-US"/>
        </w:rPr>
        <w:t>2</w:t>
      </w:r>
      <w:proofErr w:type="gramEnd"/>
    </w:p>
    <w:p w14:paraId="59EC1F95" w14:textId="77777777" w:rsidR="0043406C" w:rsidRDefault="0043406C" w:rsidP="0043406C">
      <w:pPr>
        <w:jc w:val="both"/>
        <w:rPr>
          <w:lang w:val="en-US"/>
        </w:rPr>
      </w:pPr>
    </w:p>
    <w:p w14:paraId="45BFA8EB" w14:textId="77777777" w:rsidR="0043406C" w:rsidRDefault="0043406C" w:rsidP="0043406C">
      <w:pPr>
        <w:jc w:val="both"/>
      </w:pPr>
    </w:p>
    <w:p w14:paraId="52848B31" w14:textId="77777777" w:rsidR="0043406C" w:rsidRDefault="0043406C" w:rsidP="0043406C">
      <w:pPr>
        <w:ind w:firstLine="708"/>
        <w:jc w:val="both"/>
      </w:pPr>
    </w:p>
    <w:p w14:paraId="32B428AC" w14:textId="1645389B" w:rsidR="00137BE0" w:rsidRPr="0043406C" w:rsidRDefault="0043406C" w:rsidP="0043406C">
      <w:pPr>
        <w:ind w:firstLine="708"/>
        <w:jc w:val="both"/>
      </w:pPr>
      <w:r w:rsidRPr="0043406C">
        <w:lastRenderedPageBreak/>
        <w:t>Los resultados obtenidos experimentalmente se pueden re</w:t>
      </w:r>
      <w:r>
        <w:t xml:space="preserve">presentar, </w:t>
      </w:r>
      <w:r w:rsidR="006266F2">
        <w:t>mediante la función de transferencia del circuito</w:t>
      </w:r>
      <w:r w:rsidR="00137BE0" w:rsidRPr="00137BE0">
        <w:t>,</w:t>
      </w:r>
      <w:r w:rsidR="00137BE0">
        <w:t xml:space="preserve"> que representaremos en un diagrama de Bode:</w:t>
      </w:r>
    </w:p>
    <w:p w14:paraId="6A42EAA2" w14:textId="3FA4D0A4" w:rsidR="001E18AA" w:rsidRDefault="001E18AA" w:rsidP="001E18AA">
      <w:pPr>
        <w:pStyle w:val="Prrafodelista"/>
        <w:numPr>
          <w:ilvl w:val="0"/>
          <w:numId w:val="5"/>
        </w:numPr>
        <w:jc w:val="both"/>
        <w:rPr>
          <w:rFonts w:eastAsiaTheme="minorEastAsia"/>
          <w:color w:val="595959" w:themeColor="text1" w:themeTint="A6"/>
          <w:sz w:val="20"/>
          <w:szCs w:val="20"/>
        </w:rPr>
      </w:pPr>
      <w:r w:rsidRPr="0043406C">
        <w:rPr>
          <w:rFonts w:eastAsiaTheme="minorEastAsia"/>
          <w:i/>
          <w:color w:val="595959" w:themeColor="text1" w:themeTint="A6"/>
          <w:sz w:val="20"/>
          <w:szCs w:val="20"/>
          <w:u w:val="single"/>
        </w:rPr>
        <w:t>La función de transferencia</w:t>
      </w:r>
      <w:r w:rsidRPr="001E18AA">
        <w:rPr>
          <w:rFonts w:eastAsiaTheme="minorEastAsia"/>
          <w:color w:val="595959" w:themeColor="text1" w:themeTint="A6"/>
          <w:sz w:val="20"/>
          <w:szCs w:val="20"/>
        </w:rPr>
        <w:t xml:space="preserve"> de un sistema lineal e invariante en el tiempo (LTI), se define como el cociente entre la transformada de Laplace de la salida y la transformada de Laplace de la entrada, bajo la suposición de que las condiciones iniciales son nulas.</w:t>
      </w:r>
    </w:p>
    <w:p w14:paraId="30E4FBB2" w14:textId="77777777" w:rsidR="00137BE0" w:rsidRPr="001E18AA" w:rsidRDefault="00137BE0" w:rsidP="00137BE0">
      <w:pPr>
        <w:pStyle w:val="Prrafodelista"/>
        <w:jc w:val="both"/>
        <w:rPr>
          <w:rFonts w:eastAsiaTheme="minorEastAsia"/>
          <w:color w:val="595959" w:themeColor="text1" w:themeTint="A6"/>
          <w:sz w:val="20"/>
          <w:szCs w:val="20"/>
        </w:rPr>
      </w:pPr>
    </w:p>
    <w:p w14:paraId="007EFA0D" w14:textId="62E8257C" w:rsidR="009E010C" w:rsidRDefault="00137BE0" w:rsidP="008723FF">
      <w:pPr>
        <w:pStyle w:val="Prrafodelista"/>
        <w:numPr>
          <w:ilvl w:val="0"/>
          <w:numId w:val="5"/>
        </w:numPr>
        <w:jc w:val="both"/>
        <w:rPr>
          <w:rFonts w:eastAsiaTheme="minorEastAsia"/>
          <w:color w:val="595959" w:themeColor="text1" w:themeTint="A6"/>
          <w:sz w:val="20"/>
          <w:szCs w:val="20"/>
        </w:rPr>
      </w:pPr>
      <w:r w:rsidRPr="0043406C">
        <w:rPr>
          <w:rFonts w:eastAsiaTheme="minorEastAsia"/>
          <w:i/>
          <w:color w:val="595959" w:themeColor="text1" w:themeTint="A6"/>
          <w:sz w:val="20"/>
          <w:szCs w:val="20"/>
          <w:u w:val="single"/>
        </w:rPr>
        <w:t>Un diagrama de Bode</w:t>
      </w:r>
      <w:r w:rsidRPr="00137BE0">
        <w:rPr>
          <w:rFonts w:eastAsiaTheme="minorEastAsia"/>
          <w:color w:val="595959" w:themeColor="text1" w:themeTint="A6"/>
          <w:sz w:val="20"/>
          <w:szCs w:val="20"/>
        </w:rPr>
        <w:t xml:space="preserve"> es una representación gráfica que sirve para caracterizar la respuesta en frecuencia de un sistema. El diagrama de magnitud de Bode dibuja el módulo de la función de transferencia (ganancia) en decibelios en función de la frecuencia (o la frecuencia angular) en escala logarítmica. Se suele emplear en procesado de señal para mostrar la respuesta en frecuencia de un sistema lineal e invariante en el tiempo.</w:t>
      </w:r>
      <w:r>
        <w:rPr>
          <w:rFonts w:eastAsiaTheme="minorEastAsia"/>
          <w:color w:val="595959" w:themeColor="text1" w:themeTint="A6"/>
          <w:sz w:val="20"/>
          <w:szCs w:val="20"/>
        </w:rPr>
        <w:t xml:space="preserve"> En</w:t>
      </w:r>
      <w:r w:rsidRPr="00137BE0">
        <w:rPr>
          <w:rFonts w:eastAsiaTheme="minorEastAsia"/>
          <w:color w:val="595959" w:themeColor="text1" w:themeTint="A6"/>
          <w:sz w:val="20"/>
          <w:szCs w:val="20"/>
        </w:rPr>
        <w:t xml:space="preserve"> el eje X</w:t>
      </w:r>
      <w:r>
        <w:rPr>
          <w:rFonts w:eastAsiaTheme="minorEastAsia"/>
          <w:color w:val="595959" w:themeColor="text1" w:themeTint="A6"/>
          <w:sz w:val="20"/>
          <w:szCs w:val="20"/>
        </w:rPr>
        <w:t xml:space="preserve"> situamos </w:t>
      </w:r>
      <w:r w:rsidRPr="00137BE0">
        <w:rPr>
          <w:rFonts w:eastAsiaTheme="minorEastAsia"/>
          <w:color w:val="595959" w:themeColor="text1" w:themeTint="A6"/>
          <w:sz w:val="20"/>
          <w:szCs w:val="20"/>
        </w:rPr>
        <w:t>ω en escala</w:t>
      </w:r>
      <w:r>
        <w:rPr>
          <w:rFonts w:eastAsiaTheme="minorEastAsia"/>
          <w:color w:val="595959" w:themeColor="text1" w:themeTint="A6"/>
          <w:sz w:val="20"/>
          <w:szCs w:val="20"/>
        </w:rPr>
        <w:t xml:space="preserve"> </w:t>
      </w:r>
      <w:r w:rsidRPr="00137BE0">
        <w:rPr>
          <w:rFonts w:eastAsiaTheme="minorEastAsia"/>
          <w:color w:val="595959" w:themeColor="text1" w:themeTint="A6"/>
          <w:sz w:val="20"/>
          <w:szCs w:val="20"/>
        </w:rPr>
        <w:t>logarítmica, y en el eje Y el módulo de la función de transferencia en</w:t>
      </w:r>
      <w:r>
        <w:rPr>
          <w:rFonts w:eastAsiaTheme="minorEastAsia"/>
          <w:color w:val="595959" w:themeColor="text1" w:themeTint="A6"/>
          <w:sz w:val="20"/>
          <w:szCs w:val="20"/>
        </w:rPr>
        <w:t xml:space="preserve"> </w:t>
      </w:r>
      <w:r w:rsidRPr="00137BE0">
        <w:rPr>
          <w:rFonts w:eastAsiaTheme="minorEastAsia"/>
          <w:color w:val="595959" w:themeColor="text1" w:themeTint="A6"/>
          <w:sz w:val="20"/>
          <w:szCs w:val="20"/>
        </w:rPr>
        <w:t>decibelios, es decir, 20log (</w:t>
      </w:r>
      <w:proofErr w:type="spellStart"/>
      <w:r w:rsidRPr="00137BE0">
        <w:rPr>
          <w:rFonts w:eastAsiaTheme="minorEastAsia"/>
          <w:color w:val="595959" w:themeColor="text1" w:themeTint="A6"/>
          <w:sz w:val="20"/>
          <w:szCs w:val="20"/>
        </w:rPr>
        <w:t>Vopp</w:t>
      </w:r>
      <w:proofErr w:type="spellEnd"/>
      <w:r w:rsidRPr="00137BE0">
        <w:rPr>
          <w:rFonts w:eastAsiaTheme="minorEastAsia"/>
          <w:color w:val="595959" w:themeColor="text1" w:themeTint="A6"/>
          <w:sz w:val="20"/>
          <w:szCs w:val="20"/>
        </w:rPr>
        <w:t>/</w:t>
      </w:r>
      <w:proofErr w:type="spellStart"/>
      <w:r w:rsidRPr="00137BE0">
        <w:rPr>
          <w:rFonts w:eastAsiaTheme="minorEastAsia"/>
          <w:color w:val="595959" w:themeColor="text1" w:themeTint="A6"/>
          <w:sz w:val="20"/>
          <w:szCs w:val="20"/>
        </w:rPr>
        <w:t>Vipp</w:t>
      </w:r>
      <w:proofErr w:type="spellEnd"/>
      <w:r w:rsidRPr="00137BE0">
        <w:rPr>
          <w:rFonts w:eastAsiaTheme="minorEastAsia"/>
          <w:color w:val="595959" w:themeColor="text1" w:themeTint="A6"/>
          <w:sz w:val="20"/>
          <w:szCs w:val="20"/>
        </w:rPr>
        <w:t>) correspondiente a cada frecuencia.</w:t>
      </w:r>
    </w:p>
    <w:p w14:paraId="64C007C0" w14:textId="77777777" w:rsidR="0043406C" w:rsidRPr="0043406C" w:rsidRDefault="0043406C" w:rsidP="0043406C">
      <w:pPr>
        <w:jc w:val="both"/>
        <w:rPr>
          <w:rFonts w:eastAsiaTheme="minorEastAsia"/>
          <w:color w:val="595959" w:themeColor="text1" w:themeTint="A6"/>
          <w:sz w:val="20"/>
          <w:szCs w:val="20"/>
        </w:rPr>
      </w:pPr>
    </w:p>
    <w:p w14:paraId="6722AED8" w14:textId="3B7090B7" w:rsidR="00DA1A46" w:rsidRPr="000155A6" w:rsidRDefault="00DA1A46" w:rsidP="008723FF">
      <w:pPr>
        <w:jc w:val="both"/>
        <w:rPr>
          <w:b/>
          <w:bCs/>
          <w:color w:val="548DD4" w:themeColor="text2" w:themeTint="99"/>
        </w:rPr>
      </w:pPr>
      <w:r w:rsidRPr="000155A6">
        <w:rPr>
          <w:b/>
          <w:bCs/>
          <w:color w:val="548DD4" w:themeColor="text2" w:themeTint="99"/>
        </w:rPr>
        <w:t>3.- Material:</w:t>
      </w:r>
    </w:p>
    <w:p w14:paraId="389A907A" w14:textId="77777777" w:rsidR="00DA1A46" w:rsidRDefault="00DA1A46" w:rsidP="008723FF">
      <w:pPr>
        <w:jc w:val="both"/>
      </w:pPr>
      <w:r>
        <w:t>Para poder realizar esta práctica, vamos a necesitar diversos componentes como son:</w:t>
      </w:r>
    </w:p>
    <w:p w14:paraId="0FE31A0C" w14:textId="77777777" w:rsidR="00DA1A46" w:rsidRDefault="00DA1A46" w:rsidP="008723FF">
      <w:pPr>
        <w:pStyle w:val="Prrafodelista"/>
        <w:numPr>
          <w:ilvl w:val="0"/>
          <w:numId w:val="4"/>
        </w:numPr>
        <w:jc w:val="both"/>
      </w:pPr>
      <w:r>
        <w:t>Amperímetro, para tomar las medidas de formar experimental.</w:t>
      </w:r>
    </w:p>
    <w:p w14:paraId="166AF79C" w14:textId="2B46CDF9" w:rsidR="00DA1A46" w:rsidRDefault="00DA1A46" w:rsidP="008723FF">
      <w:pPr>
        <w:pStyle w:val="Prrafodelista"/>
        <w:numPr>
          <w:ilvl w:val="0"/>
          <w:numId w:val="4"/>
        </w:numPr>
        <w:jc w:val="both"/>
      </w:pPr>
      <w:r>
        <w:t>Resistencias</w:t>
      </w:r>
      <w:r w:rsidR="009A3F33">
        <w:t xml:space="preserve"> (R</w:t>
      </w:r>
      <w:r w:rsidR="009A3F33">
        <w:rPr>
          <w:vertAlign w:val="subscript"/>
        </w:rPr>
        <w:t>D</w:t>
      </w:r>
      <w:r w:rsidR="009A3F33">
        <w:t>).</w:t>
      </w:r>
    </w:p>
    <w:p w14:paraId="565889F8" w14:textId="3C3A4050" w:rsidR="009A3F33" w:rsidRDefault="009A3F33" w:rsidP="008723FF">
      <w:pPr>
        <w:pStyle w:val="Prrafodelista"/>
        <w:numPr>
          <w:ilvl w:val="0"/>
          <w:numId w:val="4"/>
        </w:numPr>
        <w:jc w:val="both"/>
      </w:pPr>
      <w:r>
        <w:t>Circuito integrado 4007</w:t>
      </w:r>
      <w:r>
        <w:t xml:space="preserve"> (Transistor NMOSFET)</w:t>
      </w:r>
      <w:r>
        <w:t>.</w:t>
      </w:r>
    </w:p>
    <w:p w14:paraId="2C2F457B" w14:textId="77777777" w:rsidR="00DA1A46" w:rsidRDefault="00DA1A46" w:rsidP="008723FF">
      <w:pPr>
        <w:pStyle w:val="Prrafodelista"/>
        <w:numPr>
          <w:ilvl w:val="0"/>
          <w:numId w:val="4"/>
        </w:numPr>
        <w:jc w:val="both"/>
      </w:pPr>
      <w:proofErr w:type="spellStart"/>
      <w:r>
        <w:t>ProtoBoard</w:t>
      </w:r>
      <w:proofErr w:type="spellEnd"/>
    </w:p>
    <w:p w14:paraId="2C894465" w14:textId="3DB404A3" w:rsidR="00DA1A46" w:rsidRDefault="009A3F33" w:rsidP="008723FF">
      <w:pPr>
        <w:pStyle w:val="Prrafodelista"/>
        <w:numPr>
          <w:ilvl w:val="0"/>
          <w:numId w:val="4"/>
        </w:numPr>
        <w:jc w:val="both"/>
      </w:pPr>
      <w:r>
        <w:t>Ordenador.</w:t>
      </w:r>
    </w:p>
    <w:p w14:paraId="242D1FEB" w14:textId="751C0954" w:rsidR="0082182D" w:rsidRDefault="0082182D" w:rsidP="008723FF">
      <w:pPr>
        <w:pStyle w:val="Prrafodelista"/>
        <w:numPr>
          <w:ilvl w:val="0"/>
          <w:numId w:val="4"/>
        </w:numPr>
        <w:jc w:val="both"/>
      </w:pPr>
      <w:r>
        <w:t>Generador de Corriente.</w:t>
      </w:r>
    </w:p>
    <w:p w14:paraId="722E5209" w14:textId="77777777" w:rsidR="00DA1A46" w:rsidRPr="000155A6" w:rsidRDefault="0082182D" w:rsidP="008723FF">
      <w:pPr>
        <w:jc w:val="both"/>
        <w:rPr>
          <w:b/>
          <w:bCs/>
          <w:color w:val="548DD4" w:themeColor="text2" w:themeTint="99"/>
        </w:rPr>
      </w:pPr>
      <w:r w:rsidRPr="000155A6">
        <w:rPr>
          <w:b/>
          <w:bCs/>
          <w:color w:val="548DD4" w:themeColor="text2" w:themeTint="99"/>
        </w:rPr>
        <w:t>4.- Desarrollo y Resultados:</w:t>
      </w:r>
    </w:p>
    <w:p w14:paraId="760E1109" w14:textId="6383ED67" w:rsidR="0082182D" w:rsidRDefault="0082182D" w:rsidP="00CD360A">
      <w:pPr>
        <w:spacing w:after="120"/>
        <w:jc w:val="both"/>
      </w:pPr>
      <w:r>
        <w:t xml:space="preserve">En primer </w:t>
      </w:r>
      <w:r w:rsidR="00E64CC5">
        <w:t>lugar,</w:t>
      </w:r>
      <w:r>
        <w:t xml:space="preserve"> debemos </w:t>
      </w:r>
      <w:r w:rsidR="00743EAB">
        <w:t>calcular los valores de la</w:t>
      </w:r>
      <w:r w:rsidR="009A3F33">
        <w:t>s</w:t>
      </w:r>
      <w:r w:rsidR="00743EAB">
        <w:t xml:space="preserve"> resistencia</w:t>
      </w:r>
      <w:r w:rsidR="009A3F33">
        <w:t>s</w:t>
      </w:r>
      <w:r w:rsidR="00743EAB">
        <w:t xml:space="preserve"> </w:t>
      </w:r>
      <w:r>
        <w:t xml:space="preserve">que </w:t>
      </w:r>
      <w:r w:rsidR="00743EAB">
        <w:t>usaremos:</w:t>
      </w:r>
    </w:p>
    <w:p w14:paraId="14B08A85" w14:textId="5DA21E25" w:rsidR="0082182D" w:rsidRDefault="0082182D" w:rsidP="00CD360A">
      <w:pPr>
        <w:spacing w:after="0"/>
        <w:jc w:val="both"/>
        <w:rPr>
          <w:rFonts w:cstheme="minorHAnsi"/>
        </w:rPr>
      </w:pPr>
      <w:r>
        <w:t>R</w:t>
      </w:r>
      <w:r w:rsidR="009A3F33">
        <w:rPr>
          <w:vertAlign w:val="subscript"/>
        </w:rPr>
        <w:t>D</w:t>
      </w:r>
      <w:r>
        <w:t xml:space="preserve"> = </w:t>
      </w:r>
      <w:r w:rsidR="009A3F33" w:rsidRPr="009A3F33">
        <w:t>14,89</w:t>
      </w:r>
      <w:r w:rsidR="00E64CC5">
        <w:t>K</w:t>
      </w:r>
      <w:r w:rsidR="00E64CC5">
        <w:rPr>
          <w:rFonts w:cstheme="minorHAnsi"/>
        </w:rPr>
        <w:t>Ω</w:t>
      </w:r>
      <w:r w:rsidR="009A3F33">
        <w:rPr>
          <w:rFonts w:cstheme="minorHAnsi"/>
        </w:rPr>
        <w:t>.</w:t>
      </w:r>
    </w:p>
    <w:p w14:paraId="4BD69663" w14:textId="5E9A39A3" w:rsidR="009A3F33" w:rsidRDefault="009A3F33" w:rsidP="009A3F33">
      <w:pPr>
        <w:spacing w:after="0"/>
        <w:jc w:val="both"/>
      </w:pPr>
      <w:r>
        <w:t>R</w:t>
      </w:r>
      <w:r>
        <w:rPr>
          <w:vertAlign w:val="subscript"/>
        </w:rPr>
        <w:t>G</w:t>
      </w:r>
      <w:r>
        <w:t xml:space="preserve"> = </w:t>
      </w:r>
      <w:r w:rsidRPr="009A3F33">
        <w:t>9,91</w:t>
      </w:r>
      <w:r>
        <w:t>K</w:t>
      </w:r>
      <w:r>
        <w:rPr>
          <w:rFonts w:cstheme="minorHAnsi"/>
        </w:rPr>
        <w:t>Ω</w:t>
      </w:r>
      <w:r>
        <w:rPr>
          <w:rFonts w:cstheme="minorHAnsi"/>
        </w:rPr>
        <w:t>.</w:t>
      </w:r>
    </w:p>
    <w:p w14:paraId="42582D81" w14:textId="77777777" w:rsidR="009A3F33" w:rsidRDefault="009A3F33" w:rsidP="00CD360A">
      <w:pPr>
        <w:spacing w:after="0"/>
        <w:jc w:val="both"/>
      </w:pPr>
    </w:p>
    <w:p w14:paraId="4669E4B7" w14:textId="77777777" w:rsidR="009A3F33" w:rsidRDefault="0082182D" w:rsidP="009A3F33">
      <w:pPr>
        <w:spacing w:after="120"/>
        <w:jc w:val="both"/>
      </w:pPr>
      <w:r>
        <w:t xml:space="preserve">En segundo lugar, </w:t>
      </w:r>
      <w:r w:rsidR="009A3F33">
        <w:t xml:space="preserve">para </w:t>
      </w:r>
      <w:r w:rsidR="009A3F33">
        <w:t xml:space="preserve">calcular la </w:t>
      </w:r>
      <w:r w:rsidR="009A3F33">
        <w:t>característica</w:t>
      </w:r>
      <w:r w:rsidR="009A3F33">
        <w:t xml:space="preserve"> de transferencia del transistor NMOS, montaremos el circuito, donde Vi es una fuente de </w:t>
      </w:r>
      <w:r w:rsidR="009A3F33">
        <w:t xml:space="preserve">alimentación </w:t>
      </w:r>
      <w:r w:rsidR="009A3F33">
        <w:t xml:space="preserve">variable cuyo valor cambiaremos en el intervalo de 0V a 5V. </w:t>
      </w:r>
    </w:p>
    <w:p w14:paraId="6B200E80" w14:textId="387ACFF2" w:rsidR="009A3F33" w:rsidRPr="009A3F33" w:rsidRDefault="009A3F33" w:rsidP="009A3F33">
      <w:pPr>
        <w:spacing w:after="120"/>
        <w:jc w:val="both"/>
        <w:rPr>
          <w:vertAlign w:val="subscript"/>
        </w:rPr>
      </w:pPr>
      <w:r>
        <w:t xml:space="preserve">Para cada uno de los valores de </w:t>
      </w:r>
      <w:r>
        <w:t>tensión</w:t>
      </w:r>
      <w:r>
        <w:t xml:space="preserve"> de la fuente variable </w:t>
      </w:r>
      <w:r>
        <w:t>Vi,</w:t>
      </w:r>
      <w:r>
        <w:t xml:space="preserve"> mediremos los siguientes valores: </w:t>
      </w:r>
      <w:r>
        <w:t>tensión</w:t>
      </w:r>
      <w:r>
        <w:t xml:space="preserve"> </w:t>
      </w:r>
      <w:proofErr w:type="spellStart"/>
      <w:r>
        <w:t>drenador</w:t>
      </w:r>
      <w:proofErr w:type="spellEnd"/>
      <w:r>
        <w:t>-fuente (V</w:t>
      </w:r>
      <w:r>
        <w:rPr>
          <w:vertAlign w:val="subscript"/>
        </w:rPr>
        <w:t>DS</w:t>
      </w:r>
      <w:r>
        <w:t xml:space="preserve">) </w:t>
      </w:r>
      <w:r>
        <w:t>tensión puerta-fuente (V</w:t>
      </w:r>
      <w:r>
        <w:rPr>
          <w:vertAlign w:val="subscript"/>
        </w:rPr>
        <w:t>GS</w:t>
      </w:r>
      <w:r>
        <w:t xml:space="preserve">) </w:t>
      </w:r>
      <w:r>
        <w:t>tensión</w:t>
      </w:r>
      <w:r>
        <w:t xml:space="preserve"> entre los ex</w:t>
      </w:r>
      <w:r>
        <w:t>tremos de R</w:t>
      </w:r>
      <w:r>
        <w:rPr>
          <w:vertAlign w:val="subscript"/>
        </w:rPr>
        <w:t>G</w:t>
      </w:r>
      <w:r>
        <w:t>.</w:t>
      </w:r>
    </w:p>
    <w:p w14:paraId="47D92C6D" w14:textId="62BA3F4E" w:rsidR="009A3F33" w:rsidRDefault="009A3F33" w:rsidP="009A3F33">
      <w:pPr>
        <w:spacing w:after="120"/>
        <w:jc w:val="both"/>
      </w:pPr>
      <w:r>
        <w:t xml:space="preserve">Los valores anteriores se </w:t>
      </w:r>
      <w:r w:rsidR="002B4AC6">
        <w:t xml:space="preserve">anotan </w:t>
      </w:r>
      <w:r>
        <w:t xml:space="preserve">en una tabla que </w:t>
      </w:r>
      <w:r w:rsidR="002B4AC6">
        <w:t>tendrá</w:t>
      </w:r>
      <w:r>
        <w:t xml:space="preserve"> al menos 15 entradas:</w:t>
      </w:r>
    </w:p>
    <w:p w14:paraId="718A2909" w14:textId="1A7B8BCE" w:rsidR="009A3F33" w:rsidRDefault="002B4AC6" w:rsidP="009A3F33">
      <w:pPr>
        <w:spacing w:after="120"/>
        <w:jc w:val="both"/>
      </w:pPr>
      <w:r>
        <w:t>Primera tabla huevazos.</w:t>
      </w:r>
    </w:p>
    <w:p w14:paraId="285D3308" w14:textId="2414F8EB" w:rsidR="002B4AC6" w:rsidRDefault="002B4AC6" w:rsidP="009A3F33">
      <w:pPr>
        <w:spacing w:after="120"/>
        <w:jc w:val="both"/>
      </w:pPr>
      <w:r>
        <w:t>A partir de los datos anteriores</w:t>
      </w:r>
      <w:r>
        <w:t xml:space="preserve"> recogidos, haremos </w:t>
      </w:r>
      <w:r>
        <w:t xml:space="preserve">una </w:t>
      </w:r>
      <w:r>
        <w:t>representación</w:t>
      </w:r>
      <w:r>
        <w:t xml:space="preserve"> </w:t>
      </w:r>
      <w:r>
        <w:t>gráfica</w:t>
      </w:r>
      <w:r>
        <w:t xml:space="preserve"> de la </w:t>
      </w:r>
      <w:r>
        <w:t xml:space="preserve">tensión </w:t>
      </w:r>
      <w:proofErr w:type="spellStart"/>
      <w:r>
        <w:t>drenador</w:t>
      </w:r>
      <w:proofErr w:type="spellEnd"/>
      <w:r>
        <w:t>-fuente (V</w:t>
      </w:r>
      <w:r>
        <w:rPr>
          <w:vertAlign w:val="subscript"/>
        </w:rPr>
        <w:t>DS</w:t>
      </w:r>
      <w:r>
        <w:t xml:space="preserve">) frente a la </w:t>
      </w:r>
      <w:r>
        <w:t>tensión de entrada (V</w:t>
      </w:r>
      <w:r>
        <w:rPr>
          <w:vertAlign w:val="subscript"/>
        </w:rPr>
        <w:t>GS</w:t>
      </w:r>
      <w:r>
        <w:t>).</w:t>
      </w:r>
    </w:p>
    <w:p w14:paraId="0CC6D802" w14:textId="669407F7" w:rsidR="002B4AC6" w:rsidRDefault="002B4AC6" w:rsidP="002B4AC6">
      <w:pPr>
        <w:spacing w:after="120"/>
        <w:jc w:val="center"/>
      </w:pPr>
      <w:r>
        <w:rPr>
          <w:noProof/>
          <w:lang w:eastAsia="es-ES"/>
        </w:rPr>
        <w:lastRenderedPageBreak/>
        <w:drawing>
          <wp:inline distT="0" distB="0" distL="0" distR="0" wp14:anchorId="5802790D" wp14:editId="54ABC2B8">
            <wp:extent cx="3625795" cy="2162755"/>
            <wp:effectExtent l="0" t="0" r="13335" b="952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D86264" w14:textId="77777777" w:rsidR="002B4AC6" w:rsidRDefault="002B4AC6" w:rsidP="002B4AC6">
      <w:pPr>
        <w:spacing w:after="120"/>
        <w:jc w:val="center"/>
      </w:pPr>
    </w:p>
    <w:p w14:paraId="539E0984" w14:textId="61A7BF73" w:rsidR="002B4AC6" w:rsidRDefault="002B4AC6" w:rsidP="002B4AC6">
      <w:pPr>
        <w:spacing w:after="120"/>
      </w:pPr>
      <w:r>
        <w:t xml:space="preserve">Como cualquier </w:t>
      </w:r>
      <w:r>
        <w:t>característica</w:t>
      </w:r>
      <w:r>
        <w:t xml:space="preserve"> de transferencia, muestra </w:t>
      </w:r>
      <w:r>
        <w:t>cómo la salida (V</w:t>
      </w:r>
      <w:r>
        <w:rPr>
          <w:vertAlign w:val="subscript"/>
        </w:rPr>
        <w:t>DS</w:t>
      </w:r>
      <w:r>
        <w:t>) se ve afectada p</w:t>
      </w:r>
      <w:r>
        <w:t>or los cambios en la entrada (V</w:t>
      </w:r>
      <w:r>
        <w:rPr>
          <w:vertAlign w:val="subscript"/>
        </w:rPr>
        <w:t>i</w:t>
      </w:r>
      <w:r>
        <w:t>).</w:t>
      </w:r>
    </w:p>
    <w:p w14:paraId="5C59E58F" w14:textId="7FC87B2F" w:rsidR="002B4AC6" w:rsidRDefault="002B4AC6" w:rsidP="002B4AC6">
      <w:pPr>
        <w:spacing w:after="120"/>
        <w:jc w:val="center"/>
      </w:pPr>
      <w:r>
        <w:t>----------------------------------------------------------------------------------------------------------------------</w:t>
      </w:r>
    </w:p>
    <w:p w14:paraId="492AAAEA" w14:textId="4640E967" w:rsidR="002B4AC6" w:rsidRDefault="00C57453" w:rsidP="002B4AC6">
      <w:pPr>
        <w:spacing w:after="120"/>
      </w:pPr>
      <w:r>
        <w:t>Para el montaje del siguiente circuito, calculamos otra vez el valor de la resistencia R</w:t>
      </w:r>
      <w:r>
        <w:rPr>
          <w:vertAlign w:val="subscript"/>
        </w:rPr>
        <w:t>D</w:t>
      </w:r>
      <w:r>
        <w:t>:</w:t>
      </w:r>
    </w:p>
    <w:p w14:paraId="482ECB7A" w14:textId="08FAA5D1" w:rsidR="00C57453" w:rsidRDefault="00C57453" w:rsidP="002B4AC6">
      <w:pPr>
        <w:spacing w:after="120"/>
        <w:rPr>
          <w:rFonts w:cstheme="minorHAnsi"/>
        </w:rPr>
      </w:pPr>
      <w:r>
        <w:t>R</w:t>
      </w:r>
      <w:r>
        <w:rPr>
          <w:vertAlign w:val="subscript"/>
        </w:rPr>
        <w:t>D</w:t>
      </w:r>
      <w:r>
        <w:t xml:space="preserve"> = </w:t>
      </w:r>
      <w:r w:rsidRPr="009A3F33">
        <w:t>14,89</w:t>
      </w:r>
      <w:r>
        <w:t>K</w:t>
      </w:r>
      <w:r>
        <w:rPr>
          <w:rFonts w:cstheme="minorHAnsi"/>
        </w:rPr>
        <w:t>Ω.</w:t>
      </w:r>
    </w:p>
    <w:p w14:paraId="2984492E" w14:textId="77777777" w:rsidR="00C57453" w:rsidRDefault="00C57453" w:rsidP="002B4AC6">
      <w:pPr>
        <w:spacing w:after="120"/>
      </w:pPr>
      <w:r>
        <w:t xml:space="preserve">Para calcular la </w:t>
      </w:r>
      <w:r>
        <w:t xml:space="preserve">característica </w:t>
      </w:r>
      <w:r>
        <w:t xml:space="preserve"> </w:t>
      </w:r>
      <w:r>
        <w:t>[</w:t>
      </w:r>
      <w:r>
        <w:t>I-V</w:t>
      </w:r>
      <w:r>
        <w:t>]</w:t>
      </w:r>
      <w:r>
        <w:t xml:space="preserve"> en </w:t>
      </w:r>
      <w:r>
        <w:t>saturación</w:t>
      </w:r>
      <w:r>
        <w:t xml:space="preserve"> del transistor NMOS, montaremos el circuito, en el que puerta y </w:t>
      </w:r>
      <w:proofErr w:type="spellStart"/>
      <w:r>
        <w:t>drenador</w:t>
      </w:r>
      <w:proofErr w:type="spellEnd"/>
      <w:r>
        <w:t xml:space="preserve"> </w:t>
      </w:r>
      <w:r>
        <w:t>están</w:t>
      </w:r>
      <w:r>
        <w:t xml:space="preserve"> cortocircuitados y donde Vi es una fuente de </w:t>
      </w:r>
      <w:r>
        <w:t>alimentación</w:t>
      </w:r>
      <w:r>
        <w:t xml:space="preserve"> variable cuyo valor cambiaremos en el intervalo de 0V a 5V. </w:t>
      </w:r>
    </w:p>
    <w:p w14:paraId="35AB6825" w14:textId="62F010BC" w:rsidR="00C57453" w:rsidRDefault="00C57453" w:rsidP="002B4AC6">
      <w:pPr>
        <w:spacing w:after="120"/>
        <w:rPr>
          <w:rFonts w:cstheme="minorHAnsi"/>
        </w:rPr>
      </w:pPr>
      <w:r>
        <w:t xml:space="preserve">Para cada uno de los valores de </w:t>
      </w:r>
      <w:r>
        <w:t>tensión</w:t>
      </w:r>
      <w:r>
        <w:t xml:space="preserve"> de la fuente variable </w:t>
      </w:r>
      <w:proofErr w:type="gramStart"/>
      <w:r>
        <w:t>Vi ,</w:t>
      </w:r>
      <w:proofErr w:type="gramEnd"/>
      <w:r>
        <w:t xml:space="preserve"> mediremos los siguientes valores: </w:t>
      </w:r>
      <w:r>
        <w:t>tensión entre los extremos de R</w:t>
      </w:r>
      <w:r>
        <w:rPr>
          <w:vertAlign w:val="subscript"/>
        </w:rPr>
        <w:t>D</w:t>
      </w:r>
      <w:r>
        <w:t xml:space="preserve"> </w:t>
      </w:r>
      <w:r>
        <w:t>tensión puerta-fuente (V</w:t>
      </w:r>
      <w:r>
        <w:rPr>
          <w:vertAlign w:val="subscript"/>
        </w:rPr>
        <w:t xml:space="preserve">GS </w:t>
      </w:r>
      <w:r>
        <w:t>=</w:t>
      </w:r>
      <w:r>
        <w:t xml:space="preserve"> V</w:t>
      </w:r>
      <w:r>
        <w:rPr>
          <w:vertAlign w:val="subscript"/>
        </w:rPr>
        <w:t>DS</w:t>
      </w:r>
      <w:r>
        <w:t>).</w:t>
      </w:r>
    </w:p>
    <w:p w14:paraId="4498FD0C" w14:textId="323344AE" w:rsidR="00C57453" w:rsidRDefault="00C57453" w:rsidP="002B4AC6">
      <w:pPr>
        <w:spacing w:after="120"/>
      </w:pPr>
      <w:r>
        <w:t xml:space="preserve">Los valores anteriores se </w:t>
      </w:r>
      <w:r>
        <w:t>anotarán</w:t>
      </w:r>
      <w:r>
        <w:t xml:space="preserve"> en </w:t>
      </w:r>
      <w:r>
        <w:t>otra</w:t>
      </w:r>
      <w:r>
        <w:t xml:space="preserve"> tabla que </w:t>
      </w:r>
      <w:r>
        <w:t>deberá</w:t>
      </w:r>
      <w:r>
        <w:t xml:space="preserve"> tener al menos 15 entradas. </w:t>
      </w:r>
      <w:r>
        <w:t xml:space="preserve"> </w:t>
      </w:r>
    </w:p>
    <w:p w14:paraId="241D4219" w14:textId="56B63140" w:rsidR="00C57453" w:rsidRDefault="00C57453" w:rsidP="002B4AC6">
      <w:pPr>
        <w:spacing w:after="120"/>
      </w:pPr>
      <w:r>
        <w:t xml:space="preserve">A partir de los datos anteriores y usando la Ley de </w:t>
      </w:r>
      <w:r>
        <w:t>Ohm aplicada a la resistencia R</w:t>
      </w:r>
      <w:r>
        <w:rPr>
          <w:vertAlign w:val="subscript"/>
        </w:rPr>
        <w:t>D</w:t>
      </w:r>
      <w:r>
        <w:t xml:space="preserve">, se </w:t>
      </w:r>
      <w:r>
        <w:t>calculará</w:t>
      </w:r>
      <w:r>
        <w:t xml:space="preserve"> la intensidad que circula</w:t>
      </w:r>
      <w:r>
        <w:t xml:space="preserve"> por el </w:t>
      </w:r>
      <w:proofErr w:type="spellStart"/>
      <w:r>
        <w:t>drenador</w:t>
      </w:r>
      <w:proofErr w:type="spellEnd"/>
      <w:r>
        <w:t xml:space="preserve"> y la fuente (I</w:t>
      </w:r>
      <w:r>
        <w:rPr>
          <w:vertAlign w:val="subscript"/>
        </w:rPr>
        <w:t>D</w:t>
      </w:r>
      <w:r>
        <w:t xml:space="preserve">). </w:t>
      </w:r>
    </w:p>
    <w:p w14:paraId="117D83CA" w14:textId="7D699641" w:rsidR="00C57453" w:rsidRDefault="00C57453" w:rsidP="00C57453">
      <w:pPr>
        <w:spacing w:after="120"/>
        <w:ind w:firstLine="708"/>
      </w:pPr>
      <w:r>
        <w:t>Tabla 2</w:t>
      </w:r>
    </w:p>
    <w:p w14:paraId="5591DB17" w14:textId="77777777" w:rsidR="00C57453" w:rsidRDefault="00C57453" w:rsidP="002B4AC6">
      <w:pPr>
        <w:spacing w:after="120"/>
      </w:pPr>
      <w:r>
        <w:t xml:space="preserve">Por último, </w:t>
      </w:r>
      <w:r>
        <w:t xml:space="preserve">se </w:t>
      </w:r>
      <w:r>
        <w:t>representará</w:t>
      </w:r>
      <w:r>
        <w:t xml:space="preserve"> en una </w:t>
      </w:r>
      <w:r>
        <w:t xml:space="preserve">gráfica la intensidad de </w:t>
      </w:r>
      <w:proofErr w:type="spellStart"/>
      <w:r>
        <w:t>drenador</w:t>
      </w:r>
      <w:proofErr w:type="spellEnd"/>
      <w:r>
        <w:t xml:space="preserve"> (I</w:t>
      </w:r>
      <w:r>
        <w:rPr>
          <w:vertAlign w:val="subscript"/>
        </w:rPr>
        <w:t>D</w:t>
      </w:r>
      <w:r>
        <w:t xml:space="preserve">) frente a la </w:t>
      </w:r>
      <w:r>
        <w:t>tensión puerta-fuente (V</w:t>
      </w:r>
      <w:r>
        <w:rPr>
          <w:vertAlign w:val="subscript"/>
        </w:rPr>
        <w:t>GS</w:t>
      </w:r>
      <w:r>
        <w:t xml:space="preserve">). </w:t>
      </w:r>
    </w:p>
    <w:p w14:paraId="21C8F8D1" w14:textId="77777777" w:rsidR="00C57453" w:rsidRDefault="00C57453" w:rsidP="002B4AC6">
      <w:pPr>
        <w:spacing w:after="120"/>
      </w:pPr>
    </w:p>
    <w:p w14:paraId="7C312CA4" w14:textId="02797135" w:rsidR="00C57453" w:rsidRDefault="00C57453" w:rsidP="00C57453">
      <w:pPr>
        <w:spacing w:after="120"/>
        <w:jc w:val="center"/>
        <w:rPr>
          <w:noProof/>
          <w:lang w:eastAsia="es-ES"/>
        </w:rPr>
      </w:pPr>
      <w:r>
        <w:rPr>
          <w:noProof/>
          <w:lang w:eastAsia="es-ES"/>
        </w:rPr>
        <w:drawing>
          <wp:inline distT="0" distB="0" distL="0" distR="0" wp14:anchorId="1D701AB0" wp14:editId="7FA89C19">
            <wp:extent cx="3498574" cy="2115047"/>
            <wp:effectExtent l="0" t="0" r="26035" b="1905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FE2CFD" w14:textId="058A92A2" w:rsidR="00C57453" w:rsidRDefault="00C57453" w:rsidP="00C57453">
      <w:pPr>
        <w:spacing w:after="120"/>
        <w:jc w:val="center"/>
      </w:pPr>
      <w:r>
        <w:rPr>
          <w:noProof/>
          <w:lang w:eastAsia="es-ES"/>
        </w:rPr>
        <w:lastRenderedPageBreak/>
        <w:drawing>
          <wp:inline distT="0" distB="0" distL="0" distR="0" wp14:anchorId="64D8AEC6" wp14:editId="26296B9B">
            <wp:extent cx="3959750" cy="2401294"/>
            <wp:effectExtent l="0" t="0" r="22225" b="1841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310AF30" w14:textId="77777777" w:rsidR="00C57453" w:rsidRDefault="00C57453" w:rsidP="002B4AC6">
      <w:pPr>
        <w:spacing w:after="120"/>
      </w:pPr>
    </w:p>
    <w:p w14:paraId="5DB09D68" w14:textId="77777777" w:rsidR="00C57453" w:rsidRDefault="00C57453" w:rsidP="002B4AC6">
      <w:pPr>
        <w:spacing w:after="120"/>
      </w:pPr>
    </w:p>
    <w:p w14:paraId="51A5418B" w14:textId="73BC21B2" w:rsidR="000B119F" w:rsidRPr="00414D36" w:rsidRDefault="00C57453" w:rsidP="00414D36">
      <w:pPr>
        <w:spacing w:after="120"/>
        <w:rPr>
          <w:rFonts w:cstheme="minorHAnsi"/>
        </w:rPr>
      </w:pPr>
      <w:r>
        <w:t xml:space="preserve">Usando </w:t>
      </w:r>
      <w:r>
        <w:t>esta</w:t>
      </w:r>
      <w:r>
        <w:t xml:space="preserve"> </w:t>
      </w:r>
      <w:r>
        <w:t>gráfica</w:t>
      </w:r>
      <w:r>
        <w:t xml:space="preserve">, se </w:t>
      </w:r>
      <w:r>
        <w:t>realizará</w:t>
      </w:r>
      <w:r>
        <w:t xml:space="preserve"> un ajuste por </w:t>
      </w:r>
      <w:r>
        <w:t>mínimos</w:t>
      </w:r>
      <w:r>
        <w:t xml:space="preserve"> cuadrados para estimar la </w:t>
      </w:r>
      <w:r>
        <w:t>tensión umbral y la constante µ</w:t>
      </w:r>
      <w:r>
        <w:rPr>
          <w:vertAlign w:val="subscript"/>
        </w:rPr>
        <w:t>n</w:t>
      </w:r>
      <w:r>
        <w:t xml:space="preserve"> C</w:t>
      </w:r>
      <w:r>
        <w:rPr>
          <w:vertAlign w:val="subscript"/>
        </w:rPr>
        <w:t>ox</w:t>
      </w:r>
      <w:r>
        <w:t xml:space="preserve"> W L teniendo en cuenta que el transistor </w:t>
      </w:r>
      <w:r>
        <w:t>está</w:t>
      </w:r>
      <w:r>
        <w:t xml:space="preserve"> en </w:t>
      </w:r>
      <w:r>
        <w:t>saturación</w:t>
      </w:r>
      <w:r>
        <w:t>.</w:t>
      </w:r>
    </w:p>
    <w:p w14:paraId="0FB338D0" w14:textId="1262CF6C" w:rsidR="000B119F" w:rsidRDefault="000B119F" w:rsidP="009A3F33">
      <w:pPr>
        <w:spacing w:after="120"/>
        <w:jc w:val="both"/>
        <w:rPr>
          <w:rFonts w:eastAsiaTheme="minorEastAsia" w:cstheme="minorHAnsi"/>
        </w:rPr>
      </w:pPr>
      <w:r w:rsidRPr="000B119F">
        <w:rPr>
          <w:rFonts w:eastAsiaTheme="minorEastAsia" w:cstheme="minorHAnsi"/>
        </w:rPr>
        <w:t>\</w:t>
      </w:r>
      <w:proofErr w:type="spellStart"/>
      <w:r w:rsidRPr="000B119F">
        <w:rPr>
          <w:rFonts w:eastAsiaTheme="minorEastAsia" w:cstheme="minorHAnsi"/>
        </w:rPr>
        <w:t>sqrt</w:t>
      </w:r>
      <w:proofErr w:type="spellEnd"/>
      <w:r w:rsidRPr="000B119F">
        <w:rPr>
          <w:rFonts w:eastAsiaTheme="minorEastAsia" w:cstheme="minorHAnsi"/>
        </w:rPr>
        <w:t>{I_{D}} = \</w:t>
      </w:r>
      <w:proofErr w:type="spellStart"/>
      <w:r w:rsidRPr="000B119F">
        <w:rPr>
          <w:rFonts w:eastAsiaTheme="minorEastAsia" w:cstheme="minorHAnsi"/>
        </w:rPr>
        <w:t>sqrt</w:t>
      </w:r>
      <w:proofErr w:type="spellEnd"/>
      <w:r w:rsidRPr="000B119F">
        <w:rPr>
          <w:rFonts w:eastAsiaTheme="minorEastAsia" w:cstheme="minorHAnsi"/>
        </w:rPr>
        <w:t>{\frac{K}{2}}*V_{GS} - \</w:t>
      </w:r>
      <w:proofErr w:type="spellStart"/>
      <w:r w:rsidRPr="000B119F">
        <w:rPr>
          <w:rFonts w:eastAsiaTheme="minorEastAsia" w:cstheme="minorHAnsi"/>
        </w:rPr>
        <w:t>sqrt</w:t>
      </w:r>
      <w:proofErr w:type="spellEnd"/>
      <w:r w:rsidRPr="000B119F">
        <w:rPr>
          <w:rFonts w:eastAsiaTheme="minorEastAsia" w:cstheme="minorHAnsi"/>
        </w:rPr>
        <w:t>{\frac{K}{2}}*V_{T}</w:t>
      </w:r>
    </w:p>
    <w:p w14:paraId="4BD05BAB" w14:textId="6F1E5D8F" w:rsidR="000B119F" w:rsidRPr="000B119F" w:rsidRDefault="000B119F" w:rsidP="000B119F">
      <w:pPr>
        <w:pStyle w:val="Prrafodelista"/>
        <w:numPr>
          <w:ilvl w:val="0"/>
          <w:numId w:val="13"/>
        </w:numPr>
        <w:spacing w:after="120"/>
        <w:jc w:val="both"/>
        <w:rPr>
          <w:rFonts w:eastAsiaTheme="minorEastAsia" w:cstheme="minorHAnsi"/>
        </w:rPr>
      </w:pPr>
      <w:r w:rsidRPr="000B119F">
        <w:rPr>
          <w:rFonts w:eastAsiaTheme="minorEastAsia" w:cstheme="minorHAnsi"/>
        </w:rPr>
        <w:t>Despejando sacamos que K:</w:t>
      </w:r>
    </w:p>
    <w:p w14:paraId="03E7DE21" w14:textId="77777777" w:rsidR="000B119F" w:rsidRDefault="000B119F" w:rsidP="009A3F33">
      <w:pPr>
        <w:spacing w:after="120"/>
        <w:jc w:val="both"/>
        <w:rPr>
          <w:rFonts w:eastAsiaTheme="minorEastAsia" w:cstheme="minorHAnsi"/>
        </w:rPr>
      </w:pPr>
      <w:r w:rsidRPr="000B119F">
        <w:rPr>
          <w:rFonts w:eastAsiaTheme="minorEastAsia" w:cstheme="minorHAnsi"/>
        </w:rPr>
        <w:t>\</w:t>
      </w:r>
      <w:proofErr w:type="spellStart"/>
      <w:r w:rsidRPr="000B119F">
        <w:rPr>
          <w:rFonts w:eastAsiaTheme="minorEastAsia" w:cstheme="minorHAnsi"/>
        </w:rPr>
        <w:t>sqrt</w:t>
      </w:r>
      <w:proofErr w:type="spellEnd"/>
      <w:r w:rsidRPr="000B119F">
        <w:rPr>
          <w:rFonts w:eastAsiaTheme="minorEastAsia" w:cstheme="minorHAnsi"/>
        </w:rPr>
        <w:t>{\frac{K}{2}}</w:t>
      </w:r>
      <w:r>
        <w:rPr>
          <w:rFonts w:eastAsiaTheme="minorEastAsia" w:cstheme="minorHAnsi"/>
        </w:rPr>
        <w:t xml:space="preserve"> = 0’5812</w:t>
      </w:r>
    </w:p>
    <w:p w14:paraId="37F51DE2" w14:textId="77777777" w:rsidR="000B119F" w:rsidRDefault="000B119F" w:rsidP="009A3F33">
      <w:pPr>
        <w:spacing w:after="120"/>
        <w:jc w:val="both"/>
        <w:rPr>
          <w:rFonts w:eastAsiaTheme="minorEastAsia" w:cstheme="minorHAnsi"/>
        </w:rPr>
      </w:pPr>
      <w:r>
        <w:rPr>
          <w:rFonts w:eastAsiaTheme="minorEastAsia" w:cstheme="minorHAnsi"/>
        </w:rPr>
        <w:t>K = 0’6756</w:t>
      </w:r>
    </w:p>
    <w:p w14:paraId="69972B7F" w14:textId="6BA57AEF" w:rsidR="000B119F" w:rsidRDefault="000B119F" w:rsidP="000B119F">
      <w:pPr>
        <w:pStyle w:val="Prrafodelista"/>
        <w:numPr>
          <w:ilvl w:val="0"/>
          <w:numId w:val="12"/>
        </w:numPr>
        <w:spacing w:after="120"/>
        <w:jc w:val="both"/>
        <w:rPr>
          <w:rFonts w:eastAsiaTheme="minorEastAsia" w:cstheme="minorHAnsi"/>
        </w:rPr>
      </w:pPr>
      <w:r w:rsidRPr="000B119F">
        <w:rPr>
          <w:rFonts w:eastAsiaTheme="minorEastAsia" w:cstheme="minorHAnsi"/>
        </w:rPr>
        <w:t xml:space="preserve">Y por otro lado: </w:t>
      </w:r>
      <w:r w:rsidRPr="000B119F">
        <w:rPr>
          <w:rFonts w:eastAsiaTheme="minorEastAsia" w:cstheme="minorHAnsi"/>
        </w:rPr>
        <w:tab/>
      </w:r>
    </w:p>
    <w:p w14:paraId="466A1AC9" w14:textId="74D89360" w:rsidR="000B119F" w:rsidRDefault="000B119F" w:rsidP="000B119F">
      <w:pPr>
        <w:spacing w:after="120"/>
        <w:jc w:val="both"/>
        <w:rPr>
          <w:rFonts w:eastAsiaTheme="minorEastAsia" w:cstheme="minorHAnsi"/>
        </w:rPr>
      </w:pPr>
      <w:r w:rsidRPr="000B119F">
        <w:rPr>
          <w:rFonts w:eastAsiaTheme="minorEastAsia" w:cstheme="minorHAnsi"/>
        </w:rPr>
        <w:t>\</w:t>
      </w:r>
      <w:proofErr w:type="spellStart"/>
      <w:r w:rsidRPr="000B119F">
        <w:rPr>
          <w:rFonts w:eastAsiaTheme="minorEastAsia" w:cstheme="minorHAnsi"/>
        </w:rPr>
        <w:t>sqrt</w:t>
      </w:r>
      <w:proofErr w:type="spellEnd"/>
      <w:r w:rsidRPr="000B119F">
        <w:rPr>
          <w:rFonts w:eastAsiaTheme="minorEastAsia" w:cstheme="minorHAnsi"/>
        </w:rPr>
        <w:t>{\frac{K}{2}}*V_{T}</w:t>
      </w:r>
      <w:r>
        <w:rPr>
          <w:rFonts w:eastAsiaTheme="minorEastAsia" w:cstheme="minorHAnsi"/>
        </w:rPr>
        <w:t xml:space="preserve"> = 0’6365</w:t>
      </w:r>
    </w:p>
    <w:p w14:paraId="166BBFA8" w14:textId="0E8D0F06" w:rsidR="000B119F" w:rsidRDefault="000B119F" w:rsidP="000B119F">
      <w:pPr>
        <w:spacing w:after="120"/>
        <w:jc w:val="both"/>
        <w:rPr>
          <w:rFonts w:eastAsiaTheme="minorEastAsia" w:cstheme="minorHAnsi"/>
        </w:rPr>
      </w:pPr>
      <w:r>
        <w:rPr>
          <w:rFonts w:eastAsiaTheme="minorEastAsia" w:cstheme="minorHAnsi"/>
        </w:rPr>
        <w:t>V</w:t>
      </w:r>
      <w:r>
        <w:rPr>
          <w:rFonts w:eastAsiaTheme="minorEastAsia" w:cstheme="minorHAnsi"/>
          <w:vertAlign w:val="subscript"/>
        </w:rPr>
        <w:t>T</w:t>
      </w:r>
      <w:r>
        <w:rPr>
          <w:rFonts w:eastAsiaTheme="minorEastAsia" w:cstheme="minorHAnsi"/>
        </w:rPr>
        <w:t xml:space="preserve"> = 1’</w:t>
      </w:r>
      <w:r w:rsidR="003B7D87">
        <w:rPr>
          <w:rFonts w:eastAsiaTheme="minorEastAsia" w:cstheme="minorHAnsi"/>
        </w:rPr>
        <w:t>095</w:t>
      </w:r>
    </w:p>
    <w:p w14:paraId="14CA8A36" w14:textId="67C9CA84" w:rsidR="003B36D1" w:rsidRPr="000155A6" w:rsidRDefault="003B36D1" w:rsidP="004806F9">
      <w:pPr>
        <w:rPr>
          <w:b/>
          <w:bCs/>
          <w:color w:val="548DD4" w:themeColor="text2" w:themeTint="99"/>
        </w:rPr>
      </w:pPr>
      <w:r w:rsidRPr="000155A6">
        <w:rPr>
          <w:b/>
          <w:bCs/>
          <w:color w:val="548DD4" w:themeColor="text2" w:themeTint="99"/>
        </w:rPr>
        <w:t xml:space="preserve">5.- </w:t>
      </w:r>
      <w:r w:rsidR="00AA3C3B" w:rsidRPr="000155A6">
        <w:rPr>
          <w:b/>
          <w:bCs/>
          <w:color w:val="548DD4" w:themeColor="text2" w:themeTint="99"/>
        </w:rPr>
        <w:t>Discusión</w:t>
      </w:r>
    </w:p>
    <w:p w14:paraId="38B342CE" w14:textId="0862DA81" w:rsidR="00147F3B" w:rsidRDefault="00147F3B" w:rsidP="00F31074">
      <w:pPr>
        <w:jc w:val="both"/>
      </w:pPr>
      <w:r>
        <w:t xml:space="preserve">Como podemos observar en la </w:t>
      </w:r>
      <w:r w:rsidR="008E41CD">
        <w:t>gráfica</w:t>
      </w:r>
      <w:r>
        <w:t>, los datos tomados experimentalmente se corresponden a los teóricos:</w:t>
      </w:r>
    </w:p>
    <w:p w14:paraId="4BCC56B8" w14:textId="77777777" w:rsidR="00414D36" w:rsidRDefault="00147F3B" w:rsidP="00414D36">
      <w:pPr>
        <w:pStyle w:val="Prrafodelista"/>
        <w:numPr>
          <w:ilvl w:val="0"/>
          <w:numId w:val="6"/>
        </w:numPr>
        <w:jc w:val="both"/>
      </w:pPr>
      <w:r>
        <w:t xml:space="preserve">Para frecuencias bajas </w:t>
      </w:r>
      <w:r w:rsidR="001F15C0">
        <w:t xml:space="preserve">el valor que se transfiere es mayoritariamente para el </w:t>
      </w:r>
      <w:proofErr w:type="gramStart"/>
      <w:r w:rsidR="001F15C0">
        <w:t>V</w:t>
      </w:r>
      <w:r w:rsidR="001F15C0">
        <w:rPr>
          <w:vertAlign w:val="subscript"/>
        </w:rPr>
        <w:t>DS</w:t>
      </w:r>
      <w:r w:rsidR="001F15C0">
        <w:t xml:space="preserve"> </w:t>
      </w:r>
      <w:r>
        <w:t>.</w:t>
      </w:r>
      <w:proofErr w:type="gramEnd"/>
      <w:r>
        <w:t xml:space="preserve"> La pendiente de la línea de tendencia en este tramo de frecuencias bajas es cercana a 0, lo que se corresponde con la teoría.</w:t>
      </w:r>
    </w:p>
    <w:p w14:paraId="1170DF2F" w14:textId="77777777" w:rsidR="003B7D87" w:rsidRDefault="003B7D87" w:rsidP="003B7D87">
      <w:pPr>
        <w:pStyle w:val="Prrafodelista"/>
        <w:jc w:val="both"/>
      </w:pPr>
    </w:p>
    <w:p w14:paraId="566A3C21" w14:textId="77777777" w:rsidR="00C31C54" w:rsidRPr="00C31C54" w:rsidRDefault="001F15C0" w:rsidP="00C31C54">
      <w:pPr>
        <w:pStyle w:val="Prrafodelista"/>
        <w:numPr>
          <w:ilvl w:val="0"/>
          <w:numId w:val="6"/>
        </w:numPr>
        <w:jc w:val="both"/>
      </w:pPr>
      <w:r>
        <w:t>Una vez lle</w:t>
      </w:r>
      <w:r w:rsidR="00414D36">
        <w:t>gados a la frecuencia de corte</w:t>
      </w:r>
      <w:r w:rsidRPr="00414D36">
        <w:rPr>
          <w:rFonts w:eastAsiaTheme="minorEastAsia" w:cstheme="minorHAnsi"/>
        </w:rPr>
        <w:t xml:space="preserve">, vemos un cambio drástico en la </w:t>
      </w:r>
      <w:r w:rsidR="00414D36" w:rsidRPr="00414D36">
        <w:rPr>
          <w:rFonts w:eastAsiaTheme="minorEastAsia" w:cstheme="minorHAnsi"/>
        </w:rPr>
        <w:t>pendiente</w:t>
      </w:r>
      <w:r w:rsidRPr="00414D36">
        <w:rPr>
          <w:rFonts w:eastAsiaTheme="minorEastAsia" w:cstheme="minorHAnsi"/>
        </w:rPr>
        <w:t xml:space="preserve"> de la re</w:t>
      </w:r>
      <w:r w:rsidR="00414D36" w:rsidRPr="00414D36">
        <w:rPr>
          <w:rFonts w:eastAsiaTheme="minorEastAsia" w:cstheme="minorHAnsi"/>
        </w:rPr>
        <w:t xml:space="preserve">cta (donde anteriormente hemos podido calcular tanto la constante </w:t>
      </w:r>
      <w:r w:rsidR="00414D36" w:rsidRPr="00414D36">
        <w:rPr>
          <w:rFonts w:eastAsiaTheme="minorEastAsia" w:cstheme="minorHAnsi"/>
        </w:rPr>
        <w:t>K = 0’6756</w:t>
      </w:r>
      <w:r w:rsidR="00414D36" w:rsidRPr="00414D36">
        <w:rPr>
          <w:rFonts w:eastAsiaTheme="minorEastAsia" w:cstheme="minorHAnsi"/>
        </w:rPr>
        <w:t xml:space="preserve"> como la frecuencia umbral </w:t>
      </w:r>
      <w:r w:rsidR="00414D36" w:rsidRPr="00414D36">
        <w:rPr>
          <w:rFonts w:eastAsiaTheme="minorEastAsia" w:cstheme="minorHAnsi"/>
        </w:rPr>
        <w:t>V</w:t>
      </w:r>
      <w:r w:rsidR="00414D36" w:rsidRPr="00414D36">
        <w:rPr>
          <w:rFonts w:eastAsiaTheme="minorEastAsia" w:cstheme="minorHAnsi"/>
          <w:vertAlign w:val="subscript"/>
        </w:rPr>
        <w:t>T</w:t>
      </w:r>
      <w:r w:rsidR="00414D36" w:rsidRPr="00414D36">
        <w:rPr>
          <w:rFonts w:eastAsiaTheme="minorEastAsia" w:cstheme="minorHAnsi"/>
        </w:rPr>
        <w:t xml:space="preserve"> = 1’095</w:t>
      </w:r>
      <w:r w:rsidR="00414D36" w:rsidRPr="00414D36">
        <w:rPr>
          <w:rFonts w:eastAsiaTheme="minorEastAsia" w:cstheme="minorHAnsi"/>
        </w:rPr>
        <w:t xml:space="preserve">), </w:t>
      </w:r>
      <w:r w:rsidRPr="00414D36">
        <w:rPr>
          <w:rFonts w:eastAsiaTheme="minorEastAsia" w:cstheme="minorHAnsi"/>
        </w:rPr>
        <w:t>hasta llegar a valores cercanos al 0 para V</w:t>
      </w:r>
      <w:r w:rsidRPr="00414D36">
        <w:rPr>
          <w:rFonts w:eastAsiaTheme="minorEastAsia" w:cstheme="minorHAnsi"/>
          <w:vertAlign w:val="subscript"/>
        </w:rPr>
        <w:t>DS</w:t>
      </w:r>
      <w:r w:rsidRPr="00414D36">
        <w:rPr>
          <w:rFonts w:eastAsiaTheme="minorEastAsia" w:cstheme="minorHAnsi"/>
        </w:rPr>
        <w:t>, mientras que aumenta proporcionalmente para V</w:t>
      </w:r>
      <w:r w:rsidRPr="00414D36">
        <w:rPr>
          <w:rFonts w:eastAsiaTheme="minorEastAsia" w:cstheme="minorHAnsi"/>
          <w:vertAlign w:val="subscript"/>
        </w:rPr>
        <w:t>GS</w:t>
      </w:r>
      <w:r w:rsidRPr="00414D36">
        <w:rPr>
          <w:rFonts w:eastAsiaTheme="minorEastAsia" w:cstheme="minorHAnsi"/>
        </w:rPr>
        <w:t>.</w:t>
      </w:r>
    </w:p>
    <w:p w14:paraId="23DE8AA2" w14:textId="77777777" w:rsidR="00C31C54" w:rsidRDefault="00C31C54" w:rsidP="00C31C54">
      <w:pPr>
        <w:pStyle w:val="Prrafodelista"/>
      </w:pPr>
    </w:p>
    <w:p w14:paraId="0683F89A" w14:textId="4491AE75" w:rsidR="00414D36" w:rsidRDefault="00414D36" w:rsidP="00C31C54">
      <w:pPr>
        <w:pStyle w:val="Prrafodelista"/>
        <w:numPr>
          <w:ilvl w:val="0"/>
          <w:numId w:val="6"/>
        </w:numPr>
        <w:jc w:val="both"/>
      </w:pPr>
      <w:bookmarkStart w:id="0" w:name="_GoBack"/>
      <w:bookmarkEnd w:id="0"/>
      <w:r>
        <w:t>Por último, podemos ver que en frecuencias altas, ya no se produce una variación de la función de transferencia y su pendiente se mantiene constante en 0, debido a que ya hemos superado el límite predeterminado el transistor NMOSFET.</w:t>
      </w:r>
    </w:p>
    <w:p w14:paraId="4DD2C8AB" w14:textId="3E90DC0C" w:rsidR="007921B7" w:rsidRDefault="00414D36" w:rsidP="00226560">
      <w:pPr>
        <w:spacing w:before="120"/>
        <w:jc w:val="center"/>
      </w:pPr>
      <w:r>
        <w:rPr>
          <w:noProof/>
          <w:lang w:eastAsia="es-ES"/>
        </w:rPr>
        <w:lastRenderedPageBreak/>
        <w:drawing>
          <wp:inline distT="0" distB="0" distL="0" distR="0" wp14:anchorId="56568EC0" wp14:editId="30ED36C6">
            <wp:extent cx="4245996" cy="2266122"/>
            <wp:effectExtent l="0" t="0" r="21590" b="2032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5B093F" w14:textId="77777777" w:rsidR="003B7D87" w:rsidRDefault="003B7D87" w:rsidP="003B7D87">
      <w:pPr>
        <w:spacing w:before="120"/>
      </w:pPr>
    </w:p>
    <w:p w14:paraId="4255E465" w14:textId="77777777" w:rsidR="003B7D87" w:rsidRDefault="003B7D87" w:rsidP="003B7D87">
      <w:pPr>
        <w:spacing w:before="120"/>
      </w:pPr>
      <w:r>
        <w:t xml:space="preserve">Como podemos observar, tanto la gráfica teórica, como la experimental, tienen ciertas semejanzas, aunque en la experimental podemos observar un cambio en la pendiente más liviano. </w:t>
      </w:r>
    </w:p>
    <w:p w14:paraId="0168A642" w14:textId="557DCF6E" w:rsidR="003B7D87" w:rsidRDefault="003B7D87" w:rsidP="003B7D87">
      <w:pPr>
        <w:spacing w:before="120"/>
      </w:pPr>
      <w:r>
        <w:t xml:space="preserve">Según la teoría, deberíamos encontrarnos con un inversor perfecto, es decir, que según se supere su frecuencia umbral, inmediatamente </w:t>
      </w:r>
      <w:r w:rsidR="00C31C54">
        <w:t>se intercambien los valores de V</w:t>
      </w:r>
      <w:r w:rsidR="00C31C54">
        <w:rPr>
          <w:vertAlign w:val="subscript"/>
        </w:rPr>
        <w:t>DS</w:t>
      </w:r>
      <w:r w:rsidR="00C31C54">
        <w:t xml:space="preserve"> y V</w:t>
      </w:r>
      <w:r w:rsidR="00C31C54">
        <w:rPr>
          <w:vertAlign w:val="subscript"/>
        </w:rPr>
        <w:t>GS</w:t>
      </w:r>
      <w:r w:rsidR="00C31C54">
        <w:t>.</w:t>
      </w:r>
    </w:p>
    <w:p w14:paraId="1A7E7C06" w14:textId="77777777" w:rsidR="003B7D87" w:rsidRDefault="003B7D87" w:rsidP="003B7D87">
      <w:pPr>
        <w:spacing w:before="120"/>
      </w:pPr>
    </w:p>
    <w:p w14:paraId="1DE0A681" w14:textId="420E1786" w:rsidR="00AA3C3B" w:rsidRPr="000155A6" w:rsidRDefault="00AA3C3B" w:rsidP="004806F9">
      <w:pPr>
        <w:rPr>
          <w:b/>
          <w:bCs/>
          <w:color w:val="548DD4" w:themeColor="text2" w:themeTint="99"/>
        </w:rPr>
      </w:pPr>
      <w:r w:rsidRPr="000155A6">
        <w:rPr>
          <w:b/>
          <w:bCs/>
          <w:color w:val="548DD4" w:themeColor="text2" w:themeTint="99"/>
        </w:rPr>
        <w:t>6.- Conclusión</w:t>
      </w:r>
    </w:p>
    <w:p w14:paraId="5A4950A3" w14:textId="30E2F5C5" w:rsidR="003B36D1" w:rsidRDefault="00226560" w:rsidP="007921B7">
      <w:pPr>
        <w:ind w:firstLine="708"/>
        <w:jc w:val="both"/>
      </w:pPr>
      <w:r>
        <w:t xml:space="preserve">A la vista de los resultados experimentales y de lo discutido en el apartado anterior se puede argumentar la existencia de cierta disparidad entre </w:t>
      </w:r>
      <w:r w:rsidR="00FC72B2">
        <w:t xml:space="preserve">los resultados obtenidos en el laboratorio y los teóricos. </w:t>
      </w:r>
    </w:p>
    <w:p w14:paraId="29B7BF63" w14:textId="77777777" w:rsidR="003B7D87" w:rsidRDefault="00FC72B2" w:rsidP="007921B7">
      <w:pPr>
        <w:ind w:firstLine="708"/>
        <w:jc w:val="both"/>
      </w:pPr>
      <w:r>
        <w:t>Aun así, estos errores experimentales pueden explicarse debido a la imprecisión durante la toma de estos datos. Por ello, se puede concluir con que hemos obtenido un diagrama de Bode impreciso pero correcto</w:t>
      </w:r>
      <w:r w:rsidR="007921B7">
        <w:t xml:space="preserve">, ya que </w:t>
      </w:r>
      <w:r w:rsidR="00467FC6">
        <w:t xml:space="preserve">sus datos resultan prácticamente similares al modelo teórico, donde claramente se </w:t>
      </w:r>
      <w:r w:rsidR="007921B7">
        <w:t xml:space="preserve">ilustra un </w:t>
      </w:r>
      <w:r w:rsidR="003B7D87">
        <w:t>inversor</w:t>
      </w:r>
      <w:r w:rsidR="007921B7">
        <w:t xml:space="preserve"> que </w:t>
      </w:r>
      <w:r w:rsidR="003B7D87">
        <w:t>muestra un valor aproximadamente de 5V para V</w:t>
      </w:r>
      <w:r w:rsidR="003B7D87">
        <w:rPr>
          <w:vertAlign w:val="subscript"/>
        </w:rPr>
        <w:t>DS</w:t>
      </w:r>
      <w:r w:rsidR="003B7D87">
        <w:t xml:space="preserve">, mientras que para </w:t>
      </w:r>
      <w:proofErr w:type="spellStart"/>
      <w:r w:rsidR="003B7D87">
        <w:t>V</w:t>
      </w:r>
      <w:r w:rsidR="003B7D87">
        <w:rPr>
          <w:vertAlign w:val="subscript"/>
        </w:rPr>
        <w:t>Gs</w:t>
      </w:r>
      <w:proofErr w:type="spellEnd"/>
      <w:r w:rsidR="003B7D87">
        <w:t xml:space="preserve"> nos </w:t>
      </w:r>
      <w:proofErr w:type="spellStart"/>
      <w:r w:rsidR="003B7D87">
        <w:t>dara</w:t>
      </w:r>
      <w:proofErr w:type="spellEnd"/>
      <w:r w:rsidR="003B7D87">
        <w:t xml:space="preserve"> algo parecido a un 0. </w:t>
      </w:r>
    </w:p>
    <w:p w14:paraId="787639F2" w14:textId="09360DDD" w:rsidR="00FC72B2" w:rsidRPr="003B7D87" w:rsidRDefault="003B7D87" w:rsidP="007921B7">
      <w:pPr>
        <w:ind w:firstLine="708"/>
        <w:jc w:val="both"/>
      </w:pPr>
      <w:r>
        <w:t xml:space="preserve">Una vez pasada la frecuencia umbral, se cambiaran los puestos de manera que ahora </w:t>
      </w:r>
      <w:r>
        <w:t>V</w:t>
      </w:r>
      <w:r>
        <w:rPr>
          <w:vertAlign w:val="subscript"/>
        </w:rPr>
        <w:t>DS</w:t>
      </w:r>
      <w:r>
        <w:t xml:space="preserve"> obtendrá valores parecidos a 0 mientras que </w:t>
      </w:r>
      <w:proofErr w:type="spellStart"/>
      <w:r>
        <w:t>V</w:t>
      </w:r>
      <w:r>
        <w:rPr>
          <w:vertAlign w:val="subscript"/>
        </w:rPr>
        <w:t>Gs</w:t>
      </w:r>
      <w:proofErr w:type="spellEnd"/>
      <w:r>
        <w:rPr>
          <w:vertAlign w:val="subscript"/>
        </w:rPr>
        <w:t xml:space="preserve"> </w:t>
      </w:r>
      <w:r>
        <w:t xml:space="preserve">resultara con </w:t>
      </w:r>
      <w:proofErr w:type="spellStart"/>
      <w:r>
        <w:t>numeros</w:t>
      </w:r>
      <w:proofErr w:type="spellEnd"/>
      <w:r>
        <w:t xml:space="preserve"> aproximados a los 5V.</w:t>
      </w:r>
    </w:p>
    <w:p w14:paraId="7A2E50B5" w14:textId="77777777" w:rsidR="00467FC6" w:rsidRDefault="00467FC6" w:rsidP="00467FC6">
      <w:pPr>
        <w:rPr>
          <w:b/>
          <w:bCs/>
          <w:color w:val="548DD4" w:themeColor="text2" w:themeTint="99"/>
        </w:rPr>
      </w:pPr>
    </w:p>
    <w:p w14:paraId="7609016A" w14:textId="278A2807" w:rsidR="00467FC6" w:rsidRDefault="00467FC6" w:rsidP="00467FC6">
      <w:pPr>
        <w:rPr>
          <w:b/>
          <w:bCs/>
          <w:color w:val="548DD4" w:themeColor="text2" w:themeTint="99"/>
        </w:rPr>
      </w:pPr>
      <w:r>
        <w:rPr>
          <w:b/>
          <w:bCs/>
          <w:color w:val="548DD4" w:themeColor="text2" w:themeTint="99"/>
        </w:rPr>
        <w:t>7</w:t>
      </w:r>
      <w:r w:rsidRPr="000155A6">
        <w:rPr>
          <w:b/>
          <w:bCs/>
          <w:color w:val="548DD4" w:themeColor="text2" w:themeTint="99"/>
        </w:rPr>
        <w:t xml:space="preserve">.- </w:t>
      </w:r>
      <w:r>
        <w:rPr>
          <w:b/>
          <w:bCs/>
          <w:color w:val="548DD4" w:themeColor="text2" w:themeTint="99"/>
        </w:rPr>
        <w:t>Bibliografía</w:t>
      </w:r>
    </w:p>
    <w:p w14:paraId="565598ED" w14:textId="77777777" w:rsidR="00467FC6" w:rsidRDefault="00467FC6" w:rsidP="00467FC6">
      <w:r>
        <w:t>Para el uso de algunas definiciones y la justificación de los fundamentos teóricos nos hemos apoyado en diversas fuentes como son:</w:t>
      </w:r>
    </w:p>
    <w:p w14:paraId="45842EEF" w14:textId="77777777" w:rsidR="00467FC6" w:rsidRPr="00467FC6" w:rsidRDefault="00792A5D" w:rsidP="00467FC6">
      <w:pPr>
        <w:pStyle w:val="Prrafodelista"/>
        <w:numPr>
          <w:ilvl w:val="0"/>
          <w:numId w:val="4"/>
        </w:numPr>
        <w:rPr>
          <w:b/>
          <w:bCs/>
          <w:color w:val="548DD4" w:themeColor="text2" w:themeTint="99"/>
        </w:rPr>
      </w:pPr>
      <w:hyperlink r:id="rId13" w:history="1">
        <w:r w:rsidR="00467FC6">
          <w:rPr>
            <w:rStyle w:val="Hipervnculo"/>
          </w:rPr>
          <w:t>https://es.wikipedia.org/wiki/Diagrama_de_Bode</w:t>
        </w:r>
      </w:hyperlink>
    </w:p>
    <w:p w14:paraId="2E9F0F56" w14:textId="7C43013F" w:rsidR="00467FC6" w:rsidRPr="00467FC6" w:rsidRDefault="00792A5D" w:rsidP="00467FC6">
      <w:pPr>
        <w:pStyle w:val="Prrafodelista"/>
        <w:numPr>
          <w:ilvl w:val="0"/>
          <w:numId w:val="4"/>
        </w:numPr>
        <w:rPr>
          <w:b/>
          <w:bCs/>
          <w:color w:val="548DD4" w:themeColor="text2" w:themeTint="99"/>
        </w:rPr>
      </w:pPr>
      <w:hyperlink r:id="rId14" w:history="1">
        <w:r w:rsidR="00467FC6">
          <w:rPr>
            <w:rStyle w:val="Hipervnculo"/>
          </w:rPr>
          <w:t>https://es.wikipedia.org/wiki/Funci%C3%B3n_de_transferencia</w:t>
        </w:r>
      </w:hyperlink>
      <w:r w:rsidR="00467FC6">
        <w:t xml:space="preserve"> </w:t>
      </w:r>
    </w:p>
    <w:p w14:paraId="69FF1B27" w14:textId="662AA683" w:rsidR="00467FC6" w:rsidRDefault="005F1B20" w:rsidP="005F1B20">
      <w:pPr>
        <w:jc w:val="both"/>
      </w:pPr>
      <w:r>
        <w:lastRenderedPageBreak/>
        <w:t xml:space="preserve">Aunque sobretodo hemos dado mayor prioridad a la información que tenemos en el </w:t>
      </w:r>
      <w:proofErr w:type="spellStart"/>
      <w:r>
        <w:t>pdf</w:t>
      </w:r>
      <w:proofErr w:type="spellEnd"/>
      <w:r>
        <w:t xml:space="preserve"> de prácticas, ya que dentro de este viene la mayor parte de la información que necesitamos para poder completar la práctica:</w:t>
      </w:r>
    </w:p>
    <w:p w14:paraId="5B022CA3" w14:textId="7EF5D626" w:rsidR="005F1B20" w:rsidRDefault="00792A5D" w:rsidP="005F1B20">
      <w:pPr>
        <w:pStyle w:val="Prrafodelista"/>
        <w:numPr>
          <w:ilvl w:val="0"/>
          <w:numId w:val="4"/>
        </w:numPr>
        <w:jc w:val="both"/>
      </w:pPr>
      <w:hyperlink r:id="rId15" w:history="1">
        <w:r w:rsidR="005F1B20" w:rsidRPr="003A7D3F">
          <w:rPr>
            <w:rStyle w:val="Hipervnculo"/>
          </w:rPr>
          <w:t>https://pradogrado1920.ugr.es/mod/resource/view.php?id=35442</w:t>
        </w:r>
      </w:hyperlink>
    </w:p>
    <w:p w14:paraId="60C0E30D" w14:textId="77777777" w:rsidR="005F1B20" w:rsidRDefault="005F1B20" w:rsidP="005F1B20">
      <w:pPr>
        <w:ind w:left="360"/>
        <w:jc w:val="both"/>
      </w:pPr>
    </w:p>
    <w:sectPr w:rsidR="005F1B20">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592D0C" w14:textId="77777777" w:rsidR="0016653C" w:rsidRDefault="0016653C" w:rsidP="00677682">
      <w:pPr>
        <w:spacing w:after="0" w:line="240" w:lineRule="auto"/>
      </w:pPr>
      <w:r>
        <w:separator/>
      </w:r>
    </w:p>
  </w:endnote>
  <w:endnote w:type="continuationSeparator" w:id="0">
    <w:p w14:paraId="73AF3D98" w14:textId="77777777" w:rsidR="0016653C" w:rsidRDefault="0016653C" w:rsidP="0067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12">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921781"/>
      <w:docPartObj>
        <w:docPartGallery w:val="Page Numbers (Bottom of Page)"/>
        <w:docPartUnique/>
      </w:docPartObj>
    </w:sdtPr>
    <w:sdtContent>
      <w:p w14:paraId="3F846875" w14:textId="2F23F6E7" w:rsidR="00792A5D" w:rsidRDefault="00792A5D">
        <w:pPr>
          <w:pStyle w:val="Piedepgina"/>
          <w:jc w:val="right"/>
        </w:pPr>
        <w:r>
          <w:fldChar w:fldCharType="begin"/>
        </w:r>
        <w:r>
          <w:instrText>PAGE   \* MERGEFORMAT</w:instrText>
        </w:r>
        <w:r>
          <w:fldChar w:fldCharType="separate"/>
        </w:r>
        <w:r w:rsidR="00C31C54">
          <w:rPr>
            <w:noProof/>
          </w:rPr>
          <w:t>3</w:t>
        </w:r>
        <w:r>
          <w:fldChar w:fldCharType="end"/>
        </w:r>
      </w:p>
    </w:sdtContent>
  </w:sdt>
  <w:p w14:paraId="3026B137" w14:textId="77777777" w:rsidR="00792A5D" w:rsidRDefault="00792A5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82509F" w14:textId="77777777" w:rsidR="0016653C" w:rsidRDefault="0016653C" w:rsidP="00677682">
      <w:pPr>
        <w:spacing w:after="0" w:line="240" w:lineRule="auto"/>
      </w:pPr>
      <w:r>
        <w:separator/>
      </w:r>
    </w:p>
  </w:footnote>
  <w:footnote w:type="continuationSeparator" w:id="0">
    <w:p w14:paraId="02EC876F" w14:textId="77777777" w:rsidR="0016653C" w:rsidRDefault="0016653C" w:rsidP="006776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53561"/>
    <w:multiLevelType w:val="hybridMultilevel"/>
    <w:tmpl w:val="E4AC2FE4"/>
    <w:lvl w:ilvl="0" w:tplc="0C0A0001">
      <w:start w:val="1"/>
      <w:numFmt w:val="bullet"/>
      <w:lvlText w:val=""/>
      <w:lvlJc w:val="left"/>
      <w:pPr>
        <w:ind w:left="405"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2934C4"/>
    <w:multiLevelType w:val="hybridMultilevel"/>
    <w:tmpl w:val="25E663B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C290B71"/>
    <w:multiLevelType w:val="hybridMultilevel"/>
    <w:tmpl w:val="89002608"/>
    <w:lvl w:ilvl="0" w:tplc="F6329736">
      <w:start w:val="6"/>
      <w:numFmt w:val="bullet"/>
      <w:lvlText w:val="-"/>
      <w:lvlJc w:val="left"/>
      <w:pPr>
        <w:ind w:left="405" w:hanging="360"/>
      </w:pPr>
      <w:rPr>
        <w:rFonts w:ascii="Calibri" w:eastAsiaTheme="minorHAnsi" w:hAnsi="Calibri"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3">
    <w:nsid w:val="1F43124E"/>
    <w:multiLevelType w:val="hybridMultilevel"/>
    <w:tmpl w:val="743C8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49F6769"/>
    <w:multiLevelType w:val="hybridMultilevel"/>
    <w:tmpl w:val="F01CE63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50005C9"/>
    <w:multiLevelType w:val="hybridMultilevel"/>
    <w:tmpl w:val="CB6C683C"/>
    <w:lvl w:ilvl="0" w:tplc="6E7E65B2">
      <w:start w:val="2"/>
      <w:numFmt w:val="bullet"/>
      <w:lvlText w:val=""/>
      <w:lvlJc w:val="left"/>
      <w:pPr>
        <w:ind w:left="1776" w:hanging="360"/>
      </w:pPr>
      <w:rPr>
        <w:rFonts w:ascii="Wingdings" w:eastAsiaTheme="minorHAnsi" w:hAnsi="Wingdings" w:cstheme="minorBid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nsid w:val="39A51C9C"/>
    <w:multiLevelType w:val="hybridMultilevel"/>
    <w:tmpl w:val="62B886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03569D8"/>
    <w:multiLevelType w:val="hybridMultilevel"/>
    <w:tmpl w:val="9FB426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05046B8"/>
    <w:multiLevelType w:val="hybridMultilevel"/>
    <w:tmpl w:val="A134E148"/>
    <w:lvl w:ilvl="0" w:tplc="A6EA01C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70F7F89"/>
    <w:multiLevelType w:val="hybridMultilevel"/>
    <w:tmpl w:val="C5DAECC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DC15117"/>
    <w:multiLevelType w:val="hybridMultilevel"/>
    <w:tmpl w:val="C134777C"/>
    <w:lvl w:ilvl="0" w:tplc="BF469A9C">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F375ADE"/>
    <w:multiLevelType w:val="hybridMultilevel"/>
    <w:tmpl w:val="8ADA52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32365A6"/>
    <w:multiLevelType w:val="hybridMultilevel"/>
    <w:tmpl w:val="49F4A296"/>
    <w:lvl w:ilvl="0" w:tplc="0E2276EA">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12"/>
  </w:num>
  <w:num w:numId="5">
    <w:abstractNumId w:val="11"/>
  </w:num>
  <w:num w:numId="6">
    <w:abstractNumId w:val="3"/>
  </w:num>
  <w:num w:numId="7">
    <w:abstractNumId w:val="2"/>
  </w:num>
  <w:num w:numId="8">
    <w:abstractNumId w:val="0"/>
  </w:num>
  <w:num w:numId="9">
    <w:abstractNumId w:val="9"/>
  </w:num>
  <w:num w:numId="10">
    <w:abstractNumId w:val="5"/>
  </w:num>
  <w:num w:numId="11">
    <w:abstractNumId w:val="1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89A"/>
    <w:rsid w:val="000074D1"/>
    <w:rsid w:val="000155A6"/>
    <w:rsid w:val="00044D48"/>
    <w:rsid w:val="000B119F"/>
    <w:rsid w:val="00137BE0"/>
    <w:rsid w:val="00147F3B"/>
    <w:rsid w:val="0016653C"/>
    <w:rsid w:val="00171E5F"/>
    <w:rsid w:val="00197BC0"/>
    <w:rsid w:val="001E18AA"/>
    <w:rsid w:val="001E51D9"/>
    <w:rsid w:val="001F15C0"/>
    <w:rsid w:val="00226560"/>
    <w:rsid w:val="002B4AC6"/>
    <w:rsid w:val="00356607"/>
    <w:rsid w:val="003B36D1"/>
    <w:rsid w:val="003B7D87"/>
    <w:rsid w:val="00414D36"/>
    <w:rsid w:val="0043406C"/>
    <w:rsid w:val="00441DE7"/>
    <w:rsid w:val="00467FC6"/>
    <w:rsid w:val="004806F9"/>
    <w:rsid w:val="004E29C9"/>
    <w:rsid w:val="004F47DD"/>
    <w:rsid w:val="00590A1B"/>
    <w:rsid w:val="005F1B20"/>
    <w:rsid w:val="006266F2"/>
    <w:rsid w:val="00677682"/>
    <w:rsid w:val="0073257F"/>
    <w:rsid w:val="00743EAB"/>
    <w:rsid w:val="007921B7"/>
    <w:rsid w:val="00792A5D"/>
    <w:rsid w:val="0082182D"/>
    <w:rsid w:val="00850FEE"/>
    <w:rsid w:val="008723FF"/>
    <w:rsid w:val="00876027"/>
    <w:rsid w:val="008E41CD"/>
    <w:rsid w:val="0099089A"/>
    <w:rsid w:val="009A3F33"/>
    <w:rsid w:val="009C13F9"/>
    <w:rsid w:val="009E010C"/>
    <w:rsid w:val="00A80ACD"/>
    <w:rsid w:val="00AA3C3B"/>
    <w:rsid w:val="00B82E21"/>
    <w:rsid w:val="00B96B0C"/>
    <w:rsid w:val="00C31C54"/>
    <w:rsid w:val="00C57453"/>
    <w:rsid w:val="00CD360A"/>
    <w:rsid w:val="00DA1A46"/>
    <w:rsid w:val="00E32A27"/>
    <w:rsid w:val="00E64CC5"/>
    <w:rsid w:val="00F31074"/>
    <w:rsid w:val="00F65EBB"/>
    <w:rsid w:val="00FC709A"/>
    <w:rsid w:val="00FC72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F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06F9"/>
    <w:pPr>
      <w:ind w:left="720"/>
      <w:contextualSpacing/>
    </w:pPr>
  </w:style>
  <w:style w:type="paragraph" w:styleId="Textodeglobo">
    <w:name w:val="Balloon Text"/>
    <w:basedOn w:val="Normal"/>
    <w:link w:val="TextodegloboCar"/>
    <w:uiPriority w:val="99"/>
    <w:semiHidden/>
    <w:unhideWhenUsed/>
    <w:rsid w:val="003B36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36D1"/>
    <w:rPr>
      <w:rFonts w:ascii="Tahoma" w:hAnsi="Tahoma" w:cs="Tahoma"/>
      <w:sz w:val="16"/>
      <w:szCs w:val="16"/>
    </w:rPr>
  </w:style>
  <w:style w:type="character" w:customStyle="1" w:styleId="fontstyle01">
    <w:name w:val="fontstyle01"/>
    <w:basedOn w:val="Fuentedeprrafopredeter"/>
    <w:rsid w:val="00E64CC5"/>
    <w:rPr>
      <w:rFonts w:ascii="CMMI12" w:hAnsi="CMMI12" w:hint="default"/>
      <w:b w:val="0"/>
      <w:bCs w:val="0"/>
      <w:i/>
      <w:iCs/>
      <w:color w:val="000000"/>
      <w:sz w:val="24"/>
      <w:szCs w:val="24"/>
    </w:rPr>
  </w:style>
  <w:style w:type="character" w:customStyle="1" w:styleId="fontstyle11">
    <w:name w:val="fontstyle11"/>
    <w:basedOn w:val="Fuentedeprrafopredeter"/>
    <w:rsid w:val="00E64CC5"/>
    <w:rPr>
      <w:rFonts w:ascii="CMMI8" w:hAnsi="CMMI8" w:hint="default"/>
      <w:b w:val="0"/>
      <w:bCs w:val="0"/>
      <w:i/>
      <w:iCs/>
      <w:color w:val="000000"/>
      <w:sz w:val="16"/>
      <w:szCs w:val="16"/>
    </w:rPr>
  </w:style>
  <w:style w:type="character" w:customStyle="1" w:styleId="fontstyle31">
    <w:name w:val="fontstyle31"/>
    <w:basedOn w:val="Fuentedeprrafopredeter"/>
    <w:rsid w:val="00E64CC5"/>
    <w:rPr>
      <w:rFonts w:ascii="CMR12" w:hAnsi="CMR12" w:hint="default"/>
      <w:b w:val="0"/>
      <w:bCs w:val="0"/>
      <w:i w:val="0"/>
      <w:iCs w:val="0"/>
      <w:color w:val="000000"/>
      <w:sz w:val="24"/>
      <w:szCs w:val="24"/>
    </w:rPr>
  </w:style>
  <w:style w:type="character" w:styleId="Textodelmarcadordeposicin">
    <w:name w:val="Placeholder Text"/>
    <w:basedOn w:val="Fuentedeprrafopredeter"/>
    <w:uiPriority w:val="99"/>
    <w:semiHidden/>
    <w:rsid w:val="009E010C"/>
    <w:rPr>
      <w:color w:val="808080"/>
    </w:rPr>
  </w:style>
  <w:style w:type="paragraph" w:styleId="Encabezado">
    <w:name w:val="header"/>
    <w:basedOn w:val="Normal"/>
    <w:link w:val="EncabezadoCar"/>
    <w:uiPriority w:val="99"/>
    <w:unhideWhenUsed/>
    <w:rsid w:val="006776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7682"/>
  </w:style>
  <w:style w:type="paragraph" w:styleId="Piedepgina">
    <w:name w:val="footer"/>
    <w:basedOn w:val="Normal"/>
    <w:link w:val="PiedepginaCar"/>
    <w:uiPriority w:val="99"/>
    <w:unhideWhenUsed/>
    <w:rsid w:val="006776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7682"/>
  </w:style>
  <w:style w:type="character" w:styleId="Hipervnculo">
    <w:name w:val="Hyperlink"/>
    <w:basedOn w:val="Fuentedeprrafopredeter"/>
    <w:uiPriority w:val="99"/>
    <w:unhideWhenUsed/>
    <w:rsid w:val="00467FC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06F9"/>
    <w:pPr>
      <w:ind w:left="720"/>
      <w:contextualSpacing/>
    </w:pPr>
  </w:style>
  <w:style w:type="paragraph" w:styleId="Textodeglobo">
    <w:name w:val="Balloon Text"/>
    <w:basedOn w:val="Normal"/>
    <w:link w:val="TextodegloboCar"/>
    <w:uiPriority w:val="99"/>
    <w:semiHidden/>
    <w:unhideWhenUsed/>
    <w:rsid w:val="003B36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36D1"/>
    <w:rPr>
      <w:rFonts w:ascii="Tahoma" w:hAnsi="Tahoma" w:cs="Tahoma"/>
      <w:sz w:val="16"/>
      <w:szCs w:val="16"/>
    </w:rPr>
  </w:style>
  <w:style w:type="character" w:customStyle="1" w:styleId="fontstyle01">
    <w:name w:val="fontstyle01"/>
    <w:basedOn w:val="Fuentedeprrafopredeter"/>
    <w:rsid w:val="00E64CC5"/>
    <w:rPr>
      <w:rFonts w:ascii="CMMI12" w:hAnsi="CMMI12" w:hint="default"/>
      <w:b w:val="0"/>
      <w:bCs w:val="0"/>
      <w:i/>
      <w:iCs/>
      <w:color w:val="000000"/>
      <w:sz w:val="24"/>
      <w:szCs w:val="24"/>
    </w:rPr>
  </w:style>
  <w:style w:type="character" w:customStyle="1" w:styleId="fontstyle11">
    <w:name w:val="fontstyle11"/>
    <w:basedOn w:val="Fuentedeprrafopredeter"/>
    <w:rsid w:val="00E64CC5"/>
    <w:rPr>
      <w:rFonts w:ascii="CMMI8" w:hAnsi="CMMI8" w:hint="default"/>
      <w:b w:val="0"/>
      <w:bCs w:val="0"/>
      <w:i/>
      <w:iCs/>
      <w:color w:val="000000"/>
      <w:sz w:val="16"/>
      <w:szCs w:val="16"/>
    </w:rPr>
  </w:style>
  <w:style w:type="character" w:customStyle="1" w:styleId="fontstyle31">
    <w:name w:val="fontstyle31"/>
    <w:basedOn w:val="Fuentedeprrafopredeter"/>
    <w:rsid w:val="00E64CC5"/>
    <w:rPr>
      <w:rFonts w:ascii="CMR12" w:hAnsi="CMR12" w:hint="default"/>
      <w:b w:val="0"/>
      <w:bCs w:val="0"/>
      <w:i w:val="0"/>
      <w:iCs w:val="0"/>
      <w:color w:val="000000"/>
      <w:sz w:val="24"/>
      <w:szCs w:val="24"/>
    </w:rPr>
  </w:style>
  <w:style w:type="character" w:styleId="Textodelmarcadordeposicin">
    <w:name w:val="Placeholder Text"/>
    <w:basedOn w:val="Fuentedeprrafopredeter"/>
    <w:uiPriority w:val="99"/>
    <w:semiHidden/>
    <w:rsid w:val="009E010C"/>
    <w:rPr>
      <w:color w:val="808080"/>
    </w:rPr>
  </w:style>
  <w:style w:type="paragraph" w:styleId="Encabezado">
    <w:name w:val="header"/>
    <w:basedOn w:val="Normal"/>
    <w:link w:val="EncabezadoCar"/>
    <w:uiPriority w:val="99"/>
    <w:unhideWhenUsed/>
    <w:rsid w:val="006776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7682"/>
  </w:style>
  <w:style w:type="paragraph" w:styleId="Piedepgina">
    <w:name w:val="footer"/>
    <w:basedOn w:val="Normal"/>
    <w:link w:val="PiedepginaCar"/>
    <w:uiPriority w:val="99"/>
    <w:unhideWhenUsed/>
    <w:rsid w:val="006776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7682"/>
  </w:style>
  <w:style w:type="character" w:styleId="Hipervnculo">
    <w:name w:val="Hyperlink"/>
    <w:basedOn w:val="Fuentedeprrafopredeter"/>
    <w:uiPriority w:val="99"/>
    <w:unhideWhenUsed/>
    <w:rsid w:val="00467F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166677">
      <w:bodyDiv w:val="1"/>
      <w:marLeft w:val="0"/>
      <w:marRight w:val="0"/>
      <w:marTop w:val="0"/>
      <w:marBottom w:val="0"/>
      <w:divBdr>
        <w:top w:val="none" w:sz="0" w:space="0" w:color="auto"/>
        <w:left w:val="none" w:sz="0" w:space="0" w:color="auto"/>
        <w:bottom w:val="none" w:sz="0" w:space="0" w:color="auto"/>
        <w:right w:val="none" w:sz="0" w:space="0" w:color="auto"/>
      </w:divBdr>
    </w:div>
    <w:div w:id="541677462">
      <w:bodyDiv w:val="1"/>
      <w:marLeft w:val="0"/>
      <w:marRight w:val="0"/>
      <w:marTop w:val="0"/>
      <w:marBottom w:val="0"/>
      <w:divBdr>
        <w:top w:val="none" w:sz="0" w:space="0" w:color="auto"/>
        <w:left w:val="none" w:sz="0" w:space="0" w:color="auto"/>
        <w:bottom w:val="none" w:sz="0" w:space="0" w:color="auto"/>
        <w:right w:val="none" w:sz="0" w:space="0" w:color="auto"/>
      </w:divBdr>
    </w:div>
    <w:div w:id="735399682">
      <w:bodyDiv w:val="1"/>
      <w:marLeft w:val="0"/>
      <w:marRight w:val="0"/>
      <w:marTop w:val="0"/>
      <w:marBottom w:val="0"/>
      <w:divBdr>
        <w:top w:val="none" w:sz="0" w:space="0" w:color="auto"/>
        <w:left w:val="none" w:sz="0" w:space="0" w:color="auto"/>
        <w:bottom w:val="none" w:sz="0" w:space="0" w:color="auto"/>
        <w:right w:val="none" w:sz="0" w:space="0" w:color="auto"/>
      </w:divBdr>
    </w:div>
    <w:div w:id="889809265">
      <w:bodyDiv w:val="1"/>
      <w:marLeft w:val="0"/>
      <w:marRight w:val="0"/>
      <w:marTop w:val="0"/>
      <w:marBottom w:val="0"/>
      <w:divBdr>
        <w:top w:val="none" w:sz="0" w:space="0" w:color="auto"/>
        <w:left w:val="none" w:sz="0" w:space="0" w:color="auto"/>
        <w:bottom w:val="none" w:sz="0" w:space="0" w:color="auto"/>
        <w:right w:val="none" w:sz="0" w:space="0" w:color="auto"/>
      </w:divBdr>
    </w:div>
    <w:div w:id="1105734530">
      <w:bodyDiv w:val="1"/>
      <w:marLeft w:val="0"/>
      <w:marRight w:val="0"/>
      <w:marTop w:val="0"/>
      <w:marBottom w:val="0"/>
      <w:divBdr>
        <w:top w:val="none" w:sz="0" w:space="0" w:color="auto"/>
        <w:left w:val="none" w:sz="0" w:space="0" w:color="auto"/>
        <w:bottom w:val="none" w:sz="0" w:space="0" w:color="auto"/>
        <w:right w:val="none" w:sz="0" w:space="0" w:color="auto"/>
      </w:divBdr>
    </w:div>
    <w:div w:id="1848515859">
      <w:bodyDiv w:val="1"/>
      <w:marLeft w:val="0"/>
      <w:marRight w:val="0"/>
      <w:marTop w:val="0"/>
      <w:marBottom w:val="0"/>
      <w:divBdr>
        <w:top w:val="none" w:sz="0" w:space="0" w:color="auto"/>
        <w:left w:val="none" w:sz="0" w:space="0" w:color="auto"/>
        <w:bottom w:val="none" w:sz="0" w:space="0" w:color="auto"/>
        <w:right w:val="none" w:sz="0" w:space="0" w:color="auto"/>
      </w:divBdr>
    </w:div>
    <w:div w:id="2019305652">
      <w:bodyDiv w:val="1"/>
      <w:marLeft w:val="0"/>
      <w:marRight w:val="0"/>
      <w:marTop w:val="0"/>
      <w:marBottom w:val="0"/>
      <w:divBdr>
        <w:top w:val="none" w:sz="0" w:space="0" w:color="auto"/>
        <w:left w:val="none" w:sz="0" w:space="0" w:color="auto"/>
        <w:bottom w:val="none" w:sz="0" w:space="0" w:color="auto"/>
        <w:right w:val="none" w:sz="0" w:space="0" w:color="auto"/>
      </w:divBdr>
      <w:divsChild>
        <w:div w:id="130489344">
          <w:marLeft w:val="0"/>
          <w:marRight w:val="0"/>
          <w:marTop w:val="0"/>
          <w:marBottom w:val="0"/>
          <w:divBdr>
            <w:top w:val="none" w:sz="0" w:space="0" w:color="auto"/>
            <w:left w:val="none" w:sz="0" w:space="0" w:color="auto"/>
            <w:bottom w:val="none" w:sz="0" w:space="0" w:color="auto"/>
            <w:right w:val="none" w:sz="0" w:space="0" w:color="auto"/>
          </w:divBdr>
          <w:divsChild>
            <w:div w:id="2098792609">
              <w:marLeft w:val="1200"/>
              <w:marRight w:val="0"/>
              <w:marTop w:val="0"/>
              <w:marBottom w:val="0"/>
              <w:divBdr>
                <w:top w:val="none" w:sz="0" w:space="0" w:color="auto"/>
                <w:left w:val="none" w:sz="0" w:space="0" w:color="auto"/>
                <w:bottom w:val="none" w:sz="0" w:space="0" w:color="auto"/>
                <w:right w:val="none" w:sz="0" w:space="0" w:color="auto"/>
              </w:divBdr>
              <w:divsChild>
                <w:div w:id="1060977301">
                  <w:marLeft w:val="0"/>
                  <w:marRight w:val="0"/>
                  <w:marTop w:val="0"/>
                  <w:marBottom w:val="0"/>
                  <w:divBdr>
                    <w:top w:val="none" w:sz="0" w:space="0" w:color="auto"/>
                    <w:left w:val="none" w:sz="0" w:space="0" w:color="auto"/>
                    <w:bottom w:val="none" w:sz="0" w:space="0" w:color="auto"/>
                    <w:right w:val="none" w:sz="0" w:space="0" w:color="auto"/>
                  </w:divBdr>
                  <w:divsChild>
                    <w:div w:id="6904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43036">
          <w:marLeft w:val="0"/>
          <w:marRight w:val="0"/>
          <w:marTop w:val="0"/>
          <w:marBottom w:val="0"/>
          <w:divBdr>
            <w:top w:val="none" w:sz="0" w:space="0" w:color="auto"/>
            <w:left w:val="none" w:sz="0" w:space="0" w:color="auto"/>
            <w:bottom w:val="none" w:sz="0" w:space="0" w:color="auto"/>
            <w:right w:val="none" w:sz="0" w:space="0" w:color="auto"/>
          </w:divBdr>
          <w:divsChild>
            <w:div w:id="91243082">
              <w:marLeft w:val="1200"/>
              <w:marRight w:val="0"/>
              <w:marTop w:val="0"/>
              <w:marBottom w:val="0"/>
              <w:divBdr>
                <w:top w:val="none" w:sz="0" w:space="0" w:color="auto"/>
                <w:left w:val="none" w:sz="0" w:space="0" w:color="auto"/>
                <w:bottom w:val="none" w:sz="0" w:space="0" w:color="auto"/>
                <w:right w:val="none" w:sz="0" w:space="0" w:color="auto"/>
              </w:divBdr>
              <w:divsChild>
                <w:div w:id="1002704443">
                  <w:marLeft w:val="0"/>
                  <w:marRight w:val="0"/>
                  <w:marTop w:val="0"/>
                  <w:marBottom w:val="0"/>
                  <w:divBdr>
                    <w:top w:val="none" w:sz="0" w:space="0" w:color="auto"/>
                    <w:left w:val="none" w:sz="0" w:space="0" w:color="auto"/>
                    <w:bottom w:val="none" w:sz="0" w:space="0" w:color="auto"/>
                    <w:right w:val="none" w:sz="0" w:space="0" w:color="auto"/>
                  </w:divBdr>
                  <w:divsChild>
                    <w:div w:id="8106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Diagrama_de_Bode"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yperlink" Target="https://pradogrado1920.ugr.es/mod/resource/view.php?id=35442" TargetMode="External"/><Relationship Id="rId10" Type="http://schemas.openxmlformats.org/officeDocument/2006/relationships/chart" Target="charts/chart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s://es.wikipedia.org/wiki/Funci%C3%B3n_de_transferencia"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Yerman\Downloads\Practica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erman\Downloads\Practica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erman\Downloads\Practica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erman\Downloads\Practica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236351706036745"/>
          <c:y val="7.4548702245552628E-2"/>
          <c:w val="0.66419160104986874"/>
          <c:h val="0.73444808982210552"/>
        </c:manualLayout>
      </c:layout>
      <c:scatterChart>
        <c:scatterStyle val="smoothMarker"/>
        <c:varyColors val="0"/>
        <c:ser>
          <c:idx val="0"/>
          <c:order val="0"/>
          <c:xVal>
            <c:numRef>
              <c:f>[Practica4.xlsx]Hoja1!$C$41:$C$54</c:f>
              <c:numCache>
                <c:formatCode>General</c:formatCode>
                <c:ptCount val="14"/>
                <c:pt idx="0">
                  <c:v>7.0000000000000007E-2</c:v>
                </c:pt>
                <c:pt idx="1">
                  <c:v>0.38</c:v>
                </c:pt>
                <c:pt idx="2">
                  <c:v>0.64</c:v>
                </c:pt>
                <c:pt idx="3">
                  <c:v>0.94</c:v>
                </c:pt>
                <c:pt idx="4">
                  <c:v>1.23</c:v>
                </c:pt>
                <c:pt idx="5">
                  <c:v>1.51</c:v>
                </c:pt>
                <c:pt idx="6">
                  <c:v>1.89</c:v>
                </c:pt>
                <c:pt idx="7">
                  <c:v>2.17</c:v>
                </c:pt>
                <c:pt idx="8">
                  <c:v>2.4300000000000002</c:v>
                </c:pt>
                <c:pt idx="9">
                  <c:v>2.75</c:v>
                </c:pt>
                <c:pt idx="10">
                  <c:v>3</c:v>
                </c:pt>
                <c:pt idx="11">
                  <c:v>3.3</c:v>
                </c:pt>
                <c:pt idx="12">
                  <c:v>3.59</c:v>
                </c:pt>
                <c:pt idx="13">
                  <c:v>3.94</c:v>
                </c:pt>
              </c:numCache>
            </c:numRef>
          </c:xVal>
          <c:yVal>
            <c:numRef>
              <c:f>[Practica4.xlsx]Hoja1!$B$41:$B$54</c:f>
              <c:numCache>
                <c:formatCode>General</c:formatCode>
                <c:ptCount val="14"/>
                <c:pt idx="0">
                  <c:v>4.9400000000000004</c:v>
                </c:pt>
                <c:pt idx="1">
                  <c:v>4.9400000000000004</c:v>
                </c:pt>
                <c:pt idx="2">
                  <c:v>4.9400000000000004</c:v>
                </c:pt>
                <c:pt idx="3">
                  <c:v>4.9400000000000004</c:v>
                </c:pt>
                <c:pt idx="4">
                  <c:v>4.83</c:v>
                </c:pt>
                <c:pt idx="5">
                  <c:v>4.08</c:v>
                </c:pt>
                <c:pt idx="6">
                  <c:v>1.53</c:v>
                </c:pt>
                <c:pt idx="7">
                  <c:v>0.28999999999999998</c:v>
                </c:pt>
                <c:pt idx="8">
                  <c:v>0.2</c:v>
                </c:pt>
                <c:pt idx="9">
                  <c:v>0.15</c:v>
                </c:pt>
                <c:pt idx="10">
                  <c:v>0.13</c:v>
                </c:pt>
                <c:pt idx="11">
                  <c:v>0.12</c:v>
                </c:pt>
                <c:pt idx="12">
                  <c:v>0.11</c:v>
                </c:pt>
                <c:pt idx="13">
                  <c:v>0.1</c:v>
                </c:pt>
              </c:numCache>
            </c:numRef>
          </c:yVal>
          <c:smooth val="1"/>
        </c:ser>
        <c:dLbls>
          <c:showLegendKey val="0"/>
          <c:showVal val="0"/>
          <c:showCatName val="0"/>
          <c:showSerName val="0"/>
          <c:showPercent val="0"/>
          <c:showBubbleSize val="0"/>
        </c:dLbls>
        <c:axId val="183967104"/>
        <c:axId val="183973376"/>
      </c:scatterChart>
      <c:valAx>
        <c:axId val="183967104"/>
        <c:scaling>
          <c:orientation val="minMax"/>
        </c:scaling>
        <c:delete val="0"/>
        <c:axPos val="b"/>
        <c:title>
          <c:tx>
            <c:rich>
              <a:bodyPr/>
              <a:lstStyle/>
              <a:p>
                <a:pPr>
                  <a:defRPr/>
                </a:pPr>
                <a:r>
                  <a:rPr lang="es-ES"/>
                  <a:t>Vgs</a:t>
                </a:r>
              </a:p>
            </c:rich>
          </c:tx>
          <c:overlay val="0"/>
        </c:title>
        <c:numFmt formatCode="General" sourceLinked="1"/>
        <c:majorTickMark val="out"/>
        <c:minorTickMark val="none"/>
        <c:tickLblPos val="nextTo"/>
        <c:crossAx val="183973376"/>
        <c:crosses val="autoZero"/>
        <c:crossBetween val="midCat"/>
      </c:valAx>
      <c:valAx>
        <c:axId val="183973376"/>
        <c:scaling>
          <c:orientation val="minMax"/>
        </c:scaling>
        <c:delete val="0"/>
        <c:axPos val="l"/>
        <c:majorGridlines/>
        <c:title>
          <c:tx>
            <c:rich>
              <a:bodyPr rot="-5400000" vert="horz"/>
              <a:lstStyle/>
              <a:p>
                <a:pPr>
                  <a:defRPr/>
                </a:pPr>
                <a:r>
                  <a:rPr lang="es-ES"/>
                  <a:t>Vds</a:t>
                </a:r>
              </a:p>
            </c:rich>
          </c:tx>
          <c:overlay val="0"/>
        </c:title>
        <c:numFmt formatCode="General" sourceLinked="1"/>
        <c:majorTickMark val="out"/>
        <c:minorTickMark val="none"/>
        <c:tickLblPos val="nextTo"/>
        <c:crossAx val="18396710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xVal>
            <c:numRef>
              <c:f>[Practica4.xlsx]Hoja1!$B$60:$B$73</c:f>
              <c:numCache>
                <c:formatCode>General</c:formatCode>
                <c:ptCount val="14"/>
                <c:pt idx="0">
                  <c:v>0.05</c:v>
                </c:pt>
                <c:pt idx="1">
                  <c:v>0.33</c:v>
                </c:pt>
                <c:pt idx="2">
                  <c:v>0.6</c:v>
                </c:pt>
                <c:pt idx="3">
                  <c:v>0.98</c:v>
                </c:pt>
                <c:pt idx="4">
                  <c:v>1.17</c:v>
                </c:pt>
                <c:pt idx="5">
                  <c:v>1.31</c:v>
                </c:pt>
                <c:pt idx="6">
                  <c:v>1.4</c:v>
                </c:pt>
                <c:pt idx="7">
                  <c:v>1.47</c:v>
                </c:pt>
                <c:pt idx="8">
                  <c:v>1.53</c:v>
                </c:pt>
                <c:pt idx="9">
                  <c:v>1.58</c:v>
                </c:pt>
                <c:pt idx="10">
                  <c:v>1.63</c:v>
                </c:pt>
                <c:pt idx="11">
                  <c:v>1.67</c:v>
                </c:pt>
                <c:pt idx="12">
                  <c:v>1.7</c:v>
                </c:pt>
                <c:pt idx="13">
                  <c:v>1.74</c:v>
                </c:pt>
              </c:numCache>
            </c:numRef>
          </c:xVal>
          <c:yVal>
            <c:numRef>
              <c:f>[Practica4.xlsx]Hoja1!$D$60:$D$73</c:f>
              <c:numCache>
                <c:formatCode>General</c:formatCode>
                <c:ptCount val="14"/>
                <c:pt idx="0">
                  <c:v>0</c:v>
                </c:pt>
                <c:pt idx="1">
                  <c:v>0</c:v>
                </c:pt>
                <c:pt idx="2">
                  <c:v>0</c:v>
                </c:pt>
                <c:pt idx="3">
                  <c:v>0</c:v>
                </c:pt>
                <c:pt idx="4">
                  <c:v>3.3579583613163196E-3</c:v>
                </c:pt>
                <c:pt idx="5">
                  <c:v>1.4103425117528542E-2</c:v>
                </c:pt>
                <c:pt idx="6">
                  <c:v>2.8206850235057083E-2</c:v>
                </c:pt>
                <c:pt idx="7">
                  <c:v>4.5668233713901947E-2</c:v>
                </c:pt>
                <c:pt idx="8">
                  <c:v>6.044325050369375E-2</c:v>
                </c:pt>
                <c:pt idx="9">
                  <c:v>7.9247817327065137E-2</c:v>
                </c:pt>
                <c:pt idx="10">
                  <c:v>9.536601746138347E-2</c:v>
                </c:pt>
                <c:pt idx="11">
                  <c:v>0.11282740094022833</c:v>
                </c:pt>
                <c:pt idx="12">
                  <c:v>0.12894560107454667</c:v>
                </c:pt>
                <c:pt idx="13">
                  <c:v>0.14439220953660173</c:v>
                </c:pt>
              </c:numCache>
            </c:numRef>
          </c:yVal>
          <c:smooth val="1"/>
        </c:ser>
        <c:dLbls>
          <c:showLegendKey val="0"/>
          <c:showVal val="0"/>
          <c:showCatName val="0"/>
          <c:showSerName val="0"/>
          <c:showPercent val="0"/>
          <c:showBubbleSize val="0"/>
        </c:dLbls>
        <c:axId val="216656512"/>
        <c:axId val="3564672"/>
      </c:scatterChart>
      <c:valAx>
        <c:axId val="216656512"/>
        <c:scaling>
          <c:orientation val="minMax"/>
        </c:scaling>
        <c:delete val="0"/>
        <c:axPos val="b"/>
        <c:title>
          <c:tx>
            <c:rich>
              <a:bodyPr/>
              <a:lstStyle/>
              <a:p>
                <a:pPr>
                  <a:defRPr/>
                </a:pPr>
                <a:r>
                  <a:rPr lang="es-ES"/>
                  <a:t>Vgs</a:t>
                </a:r>
              </a:p>
            </c:rich>
          </c:tx>
          <c:overlay val="0"/>
        </c:title>
        <c:numFmt formatCode="General" sourceLinked="1"/>
        <c:majorTickMark val="out"/>
        <c:minorTickMark val="none"/>
        <c:tickLblPos val="nextTo"/>
        <c:crossAx val="3564672"/>
        <c:crosses val="autoZero"/>
        <c:crossBetween val="midCat"/>
      </c:valAx>
      <c:valAx>
        <c:axId val="3564672"/>
        <c:scaling>
          <c:orientation val="minMax"/>
        </c:scaling>
        <c:delete val="0"/>
        <c:axPos val="l"/>
        <c:majorGridlines/>
        <c:title>
          <c:tx>
            <c:rich>
              <a:bodyPr rot="-5400000" vert="horz"/>
              <a:lstStyle/>
              <a:p>
                <a:pPr>
                  <a:defRPr/>
                </a:pPr>
                <a:r>
                  <a:rPr lang="es-ES"/>
                  <a:t>Id</a:t>
                </a:r>
              </a:p>
            </c:rich>
          </c:tx>
          <c:overlay val="0"/>
        </c:title>
        <c:numFmt formatCode="General" sourceLinked="1"/>
        <c:majorTickMark val="out"/>
        <c:minorTickMark val="none"/>
        <c:tickLblPos val="nextTo"/>
        <c:crossAx val="216656512"/>
        <c:crosses val="autoZero"/>
        <c:crossBetween val="midCat"/>
      </c:valAx>
    </c:plotArea>
    <c:legend>
      <c:legendPos val="r"/>
      <c:overlay val="0"/>
    </c:legend>
    <c:plotVisOnly val="1"/>
    <c:dispBlanksAs val="gap"/>
    <c:showDLblsOverMax val="0"/>
  </c:chart>
  <c:txPr>
    <a:bodyPr/>
    <a:lstStyle/>
    <a:p>
      <a:pPr>
        <a:defRPr u="none"/>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rendline>
            <c:trendlineType val="linear"/>
            <c:dispRSqr val="1"/>
            <c:dispEq val="1"/>
            <c:trendlineLbl>
              <c:layout>
                <c:manualLayout>
                  <c:x val="-6.4660886915999971E-2"/>
                  <c:y val="5.7643376434597354E-2"/>
                </c:manualLayout>
              </c:layout>
              <c:numFmt formatCode="General" sourceLinked="0"/>
            </c:trendlineLbl>
          </c:trendline>
          <c:xVal>
            <c:numRef>
              <c:f>[Practica4.xlsx]Hoja1!$B$64:$B$73</c:f>
              <c:numCache>
                <c:formatCode>General</c:formatCode>
                <c:ptCount val="10"/>
                <c:pt idx="0">
                  <c:v>1.17</c:v>
                </c:pt>
                <c:pt idx="1">
                  <c:v>1.31</c:v>
                </c:pt>
                <c:pt idx="2">
                  <c:v>1.4</c:v>
                </c:pt>
                <c:pt idx="3">
                  <c:v>1.47</c:v>
                </c:pt>
                <c:pt idx="4">
                  <c:v>1.53</c:v>
                </c:pt>
                <c:pt idx="5">
                  <c:v>1.58</c:v>
                </c:pt>
                <c:pt idx="6">
                  <c:v>1.63</c:v>
                </c:pt>
                <c:pt idx="7">
                  <c:v>1.67</c:v>
                </c:pt>
                <c:pt idx="8">
                  <c:v>1.7</c:v>
                </c:pt>
                <c:pt idx="9">
                  <c:v>1.74</c:v>
                </c:pt>
              </c:numCache>
            </c:numRef>
          </c:xVal>
          <c:yVal>
            <c:numRef>
              <c:f>[Practica4.xlsx]Hoja1!$E$64:$E$73</c:f>
              <c:numCache>
                <c:formatCode>General</c:formatCode>
                <c:ptCount val="10"/>
                <c:pt idx="0">
                  <c:v>5.7947893501975718E-2</c:v>
                </c:pt>
                <c:pt idx="1">
                  <c:v>0.11875784234116306</c:v>
                </c:pt>
                <c:pt idx="2">
                  <c:v>0.1679489512770386</c:v>
                </c:pt>
                <c:pt idx="3">
                  <c:v>0.2137012721391755</c:v>
                </c:pt>
                <c:pt idx="4">
                  <c:v>0.24585209070433742</c:v>
                </c:pt>
                <c:pt idx="5">
                  <c:v>0.2815098885067186</c:v>
                </c:pt>
                <c:pt idx="6">
                  <c:v>0.30881388806428939</c:v>
                </c:pt>
                <c:pt idx="7">
                  <c:v>0.3358979025540772</c:v>
                </c:pt>
                <c:pt idx="8">
                  <c:v>0.35908996236952473</c:v>
                </c:pt>
                <c:pt idx="9">
                  <c:v>0.37998974925200513</c:v>
                </c:pt>
              </c:numCache>
            </c:numRef>
          </c:yVal>
          <c:smooth val="1"/>
        </c:ser>
        <c:dLbls>
          <c:showLegendKey val="0"/>
          <c:showVal val="0"/>
          <c:showCatName val="0"/>
          <c:showSerName val="0"/>
          <c:showPercent val="0"/>
          <c:showBubbleSize val="0"/>
        </c:dLbls>
        <c:axId val="71927680"/>
        <c:axId val="76713984"/>
      </c:scatterChart>
      <c:valAx>
        <c:axId val="71927680"/>
        <c:scaling>
          <c:orientation val="minMax"/>
        </c:scaling>
        <c:delete val="0"/>
        <c:axPos val="b"/>
        <c:title>
          <c:tx>
            <c:rich>
              <a:bodyPr/>
              <a:lstStyle/>
              <a:p>
                <a:pPr>
                  <a:defRPr/>
                </a:pPr>
                <a:r>
                  <a:rPr lang="es-ES"/>
                  <a:t>Vgs</a:t>
                </a:r>
              </a:p>
            </c:rich>
          </c:tx>
          <c:overlay val="0"/>
        </c:title>
        <c:numFmt formatCode="General" sourceLinked="1"/>
        <c:majorTickMark val="out"/>
        <c:minorTickMark val="none"/>
        <c:tickLblPos val="nextTo"/>
        <c:crossAx val="76713984"/>
        <c:crosses val="autoZero"/>
        <c:crossBetween val="midCat"/>
      </c:valAx>
      <c:valAx>
        <c:axId val="76713984"/>
        <c:scaling>
          <c:orientation val="minMax"/>
        </c:scaling>
        <c:delete val="0"/>
        <c:axPos val="l"/>
        <c:majorGridlines/>
        <c:title>
          <c:tx>
            <c:rich>
              <a:bodyPr rot="-5400000" vert="horz"/>
              <a:lstStyle/>
              <a:p>
                <a:pPr>
                  <a:defRPr/>
                </a:pPr>
                <a:r>
                  <a:rPr lang="es-ES"/>
                  <a:t>Id</a:t>
                </a:r>
              </a:p>
            </c:rich>
          </c:tx>
          <c:overlay val="0"/>
        </c:title>
        <c:numFmt formatCode="General" sourceLinked="1"/>
        <c:majorTickMark val="out"/>
        <c:minorTickMark val="none"/>
        <c:tickLblPos val="nextTo"/>
        <c:crossAx val="71927680"/>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Funcion de Transferencia Teorica</a:t>
            </a:r>
          </a:p>
        </c:rich>
      </c:tx>
      <c:layout>
        <c:manualLayout>
          <c:xMode val="edge"/>
          <c:yMode val="edge"/>
          <c:x val="0.12114588801399825"/>
          <c:y val="6.0185185185185182E-2"/>
        </c:manualLayout>
      </c:layout>
      <c:overlay val="1"/>
    </c:title>
    <c:autoTitleDeleted val="0"/>
    <c:plotArea>
      <c:layout>
        <c:manualLayout>
          <c:layoutTarget val="inner"/>
          <c:xMode val="edge"/>
          <c:yMode val="edge"/>
          <c:x val="0.10512729658792651"/>
          <c:y val="7.4548702245552628E-2"/>
          <c:w val="0.73013604549431321"/>
          <c:h val="0.8326195683872849"/>
        </c:manualLayout>
      </c:layout>
      <c:lineChart>
        <c:grouping val="standard"/>
        <c:varyColors val="0"/>
        <c:ser>
          <c:idx val="0"/>
          <c:order val="0"/>
          <c:marker>
            <c:symbol val="none"/>
          </c:marker>
          <c:val>
            <c:numRef>
              <c:f>[Practica4.xlsx]Hoja1!$Z$40:$Z$53</c:f>
              <c:numCache>
                <c:formatCode>General</c:formatCode>
                <c:ptCount val="14"/>
                <c:pt idx="0">
                  <c:v>5</c:v>
                </c:pt>
                <c:pt idx="1">
                  <c:v>5</c:v>
                </c:pt>
                <c:pt idx="2">
                  <c:v>5</c:v>
                </c:pt>
                <c:pt idx="3">
                  <c:v>5</c:v>
                </c:pt>
                <c:pt idx="4">
                  <c:v>5</c:v>
                </c:pt>
                <c:pt idx="5">
                  <c:v>0</c:v>
                </c:pt>
                <c:pt idx="6">
                  <c:v>0</c:v>
                </c:pt>
                <c:pt idx="7">
                  <c:v>0</c:v>
                </c:pt>
                <c:pt idx="8">
                  <c:v>0</c:v>
                </c:pt>
                <c:pt idx="9">
                  <c:v>0</c:v>
                </c:pt>
                <c:pt idx="10">
                  <c:v>0</c:v>
                </c:pt>
                <c:pt idx="11">
                  <c:v>0</c:v>
                </c:pt>
                <c:pt idx="12">
                  <c:v>0</c:v>
                </c:pt>
                <c:pt idx="13">
                  <c:v>0</c:v>
                </c:pt>
              </c:numCache>
            </c:numRef>
          </c:val>
          <c:smooth val="0"/>
        </c:ser>
        <c:dLbls>
          <c:showLegendKey val="0"/>
          <c:showVal val="0"/>
          <c:showCatName val="0"/>
          <c:showSerName val="0"/>
          <c:showPercent val="0"/>
          <c:showBubbleSize val="0"/>
        </c:dLbls>
        <c:marker val="1"/>
        <c:smooth val="0"/>
        <c:axId val="123219968"/>
        <c:axId val="123221888"/>
      </c:lineChart>
      <c:catAx>
        <c:axId val="123219968"/>
        <c:scaling>
          <c:orientation val="minMax"/>
        </c:scaling>
        <c:delete val="0"/>
        <c:axPos val="b"/>
        <c:title>
          <c:tx>
            <c:rich>
              <a:bodyPr/>
              <a:lstStyle/>
              <a:p>
                <a:pPr>
                  <a:defRPr/>
                </a:pPr>
                <a:r>
                  <a:rPr lang="en-US"/>
                  <a:t>Vgs</a:t>
                </a:r>
              </a:p>
            </c:rich>
          </c:tx>
          <c:layout>
            <c:manualLayout>
              <c:xMode val="edge"/>
              <c:yMode val="edge"/>
              <c:x val="0.85818832020997382"/>
              <c:y val="0.92960629921259841"/>
            </c:manualLayout>
          </c:layout>
          <c:overlay val="0"/>
        </c:title>
        <c:majorTickMark val="out"/>
        <c:minorTickMark val="none"/>
        <c:tickLblPos val="nextTo"/>
        <c:crossAx val="123221888"/>
        <c:crosses val="autoZero"/>
        <c:auto val="1"/>
        <c:lblAlgn val="ctr"/>
        <c:lblOffset val="100"/>
        <c:noMultiLvlLbl val="0"/>
      </c:catAx>
      <c:valAx>
        <c:axId val="123221888"/>
        <c:scaling>
          <c:orientation val="minMax"/>
        </c:scaling>
        <c:delete val="0"/>
        <c:axPos val="l"/>
        <c:majorGridlines/>
        <c:title>
          <c:tx>
            <c:rich>
              <a:bodyPr rot="0" vert="horz"/>
              <a:lstStyle/>
              <a:p>
                <a:pPr>
                  <a:defRPr/>
                </a:pPr>
                <a:r>
                  <a:rPr lang="es-ES"/>
                  <a:t>Vds</a:t>
                </a:r>
              </a:p>
            </c:rich>
          </c:tx>
          <c:overlay val="0"/>
        </c:title>
        <c:numFmt formatCode="General" sourceLinked="1"/>
        <c:majorTickMark val="out"/>
        <c:minorTickMark val="none"/>
        <c:tickLblPos val="nextTo"/>
        <c:crossAx val="123219968"/>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12">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F9F"/>
    <w:rsid w:val="006B5F9F"/>
    <w:rsid w:val="00DA7F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5F9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5F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AAA3D-EE73-4F63-84B6-9E713320A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Pages>
  <Words>1286</Words>
  <Characters>7076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Yerman</dc:creator>
  <cp:lastModifiedBy>Yerman</cp:lastModifiedBy>
  <cp:revision>3</cp:revision>
  <dcterms:created xsi:type="dcterms:W3CDTF">2019-12-02T17:04:00Z</dcterms:created>
  <dcterms:modified xsi:type="dcterms:W3CDTF">2019-12-23T18:56:00Z</dcterms:modified>
</cp:coreProperties>
</file>