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C3A"/>
          <w:sz w:val="52"/>
          <w:szCs w:val="52"/>
        </w:rPr>
        <w:t xml:space="preserve">MBOATRUST AI</w:t>
      </w:r>
    </w:p>
    <w:p>
      <w:pPr>
        <w:spacing w:after="400"/>
        <w:jc w:val="center"/>
      </w:pPr>
      <w:r>
        <w:rPr>
          <w:rFonts w:ascii="Arial" w:cs="Arial" w:eastAsia="Arial" w:hAnsi="Arial"/>
          <w:b/>
          <w:bCs/>
          <w:color w:val="1F2937"/>
          <w:sz w:val="36"/>
          <w:szCs w:val="36"/>
        </w:rPr>
        <w:t xml:space="preserve">System Design Document (SDD)</w:t>
      </w:r>
    </w:p>
    <w:p>
      <w:pPr>
        <w:spacing w:after="200"/>
        <w:jc w:val="center"/>
      </w:pPr>
      <w:r>
        <w:rPr>
          <w:rFonts w:ascii="Arial" w:cs="Arial" w:eastAsia="Arial" w:hAnsi="Arial"/>
          <w:color w:val="6B7280"/>
          <w:sz w:val="24"/>
          <w:szCs w:val="24"/>
        </w:rPr>
        <w:t xml:space="preserve">Architecture, Data Flow &amp; Component Design</w:t>
      </w:r>
    </w:p>
    <w:p>
      <w:pPr>
        <w:pBdr>
          <w:bottom w:val="single" w:color="4CAF7D" w:sz="8" w:space="8"/>
        </w:pBdr>
        <w:spacing w:after="600"/>
        <w:jc w:val="center"/>
      </w:pPr>
    </w:p>
    <w:p>
      <w:pPr>
        <w:spacing w:after="100"/>
        <w:jc w:val="center"/>
      </w:pPr>
      <w:r>
        <w:rPr>
          <w:rFonts w:ascii="Arial" w:cs="Arial" w:eastAsia="Arial" w:hAnsi="Arial"/>
          <w:color w:val="6B7280"/>
          <w:sz w:val="22"/>
          <w:szCs w:val="22"/>
        </w:rPr>
        <w:t xml:space="preserve">Version 1.0</w:t>
      </w:r>
    </w:p>
    <w:p>
      <w:pPr>
        <w:spacing w:after="100"/>
        <w:jc w:val="center"/>
      </w:pPr>
      <w:r>
        <w:rPr>
          <w:rFonts w:ascii="Arial" w:cs="Arial" w:eastAsia="Arial" w:hAnsi="Arial"/>
          <w:color w:val="6B7280"/>
          <w:sz w:val="22"/>
          <w:szCs w:val="22"/>
        </w:rPr>
        <w:t xml:space="preserve">Date: April 6, 2026</w:t>
      </w:r>
    </w:p>
    <w:p>
      <w:pPr>
        <w:spacing w:after="100"/>
        <w:jc w:val="center"/>
      </w:pPr>
      <w:r>
        <w:rPr>
          <w:rFonts w:ascii="Arial" w:cs="Arial" w:eastAsia="Arial" w:hAnsi="Arial"/>
          <w:color w:val="6B7280"/>
          <w:sz w:val="22"/>
          <w:szCs w:val="22"/>
        </w:rPr>
        <w:t xml:space="preserve">Status: Draft</w:t>
      </w:r>
    </w:p>
    <w:p>
      <w:r>
        <w:r>
          <w:br w:type="page"/>
        </w:r>
      </w:r>
    </w:p>
    <w:p>
      <w:pPr>
        <w:pStyle w:val="Heading1"/>
      </w:pPr>
      <w:r>
        <w:t xml:space="preserve">1. System Architecture</w:t>
      </w:r>
    </w:p>
    <w:p>
      <w:pPr>
        <w:spacing w:after="120"/>
      </w:pPr>
      <w:r>
        <w:rPr>
          <w:rFonts w:ascii="Arial" w:cs="Arial" w:eastAsia="Arial" w:hAnsi="Arial"/>
          <w:sz w:val="22"/>
          <w:szCs w:val="22"/>
        </w:rPr>
        <w:t xml:space="preserve">MboaTrust AI follows a three-tier client-server architecture with an offline-first mobile client, a service-oriented backend, and a cloud-hosted PostgreSQL database. The system is designed for intermittent connectivity environments, with all core operations available offline and synchronization occurring automatically when connectivity is restored.</w:t>
      </w:r>
    </w:p>
    <w:p>
      <w:pPr>
        <w:spacing w:after="80"/>
      </w:pPr>
    </w:p>
    <w:p>
      <w:pPr>
        <w:pStyle w:val="Heading2"/>
      </w:pPr>
      <w:r>
        <w:t xml:space="preserve">1.1 Architecture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30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36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Presentation</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Mobile Application</w:t>
            </w:r>
          </w:p>
        </w:tc>
        <w:tc>
          <w:tcPr>
            <w:tcW w:type="dxa" w:w="4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React Native + Expo (iOS/Android)</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Application</w:t>
            </w:r>
          </w:p>
        </w:tc>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API Backend</w:t>
            </w:r>
          </w:p>
        </w:tc>
        <w:tc>
          <w:tcPr>
            <w:tcW w:type="dxa" w:w="4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Python + FastAPI (async)</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Data</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Database + Storage</w:t>
            </w:r>
          </w:p>
        </w:tc>
        <w:tc>
          <w:tcPr>
            <w:tcW w:type="dxa" w:w="4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PostgreSQL (Supabase) + Supabase Storage</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AI</w:t>
            </w:r>
          </w:p>
        </w:tc>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ML Pipeline</w:t>
            </w:r>
          </w:p>
        </w:tc>
        <w:tc>
          <w:tcPr>
            <w:tcW w:type="dxa" w:w="4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EasyOCR, XGBoost, Prophet, Claude API</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External</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Third-Party Services</w:t>
            </w:r>
          </w:p>
        </w:tc>
        <w:tc>
          <w:tcPr>
            <w:tcW w:type="dxa" w:w="4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Africa's Talking (SMS), Expo Push (notifications)</w:t>
            </w:r>
          </w:p>
        </w:tc>
      </w:tr>
    </w:tbl>
    <w:p>
      <w:pPr>
        <w:spacing w:after="80"/>
      </w:pPr>
    </w:p>
    <w:p>
      <w:pPr>
        <w:pStyle w:val="Heading1"/>
      </w:pPr>
      <w:r>
        <w:t xml:space="preserve">2. Component Design</w:t>
      </w:r>
    </w:p>
    <w:p>
      <w:pPr>
        <w:pStyle w:val="Heading2"/>
      </w:pPr>
      <w:r>
        <w:t xml:space="preserve">2.1 Mobile Application Components</w:t>
      </w:r>
    </w:p>
    <w:p>
      <w:pPr>
        <w:spacing w:after="120"/>
      </w:pPr>
      <w:r>
        <w:rPr>
          <w:rFonts w:ascii="Arial" w:cs="Arial" w:eastAsia="Arial" w:hAnsi="Arial"/>
          <w:sz w:val="22"/>
          <w:szCs w:val="22"/>
        </w:rPr>
        <w:t xml:space="preserve">The mobile app is organized using expo-router v3 with file-based routing. Major component groups include:</w:t>
      </w:r>
    </w:p>
    <w:p>
      <w:pPr>
        <w:pStyle w:val="ListParagraph"/>
        <w:numPr>
          <w:ilvl w:val="0"/>
          <w:numId w:val="2"/>
        </w:numPr>
        <w:spacing w:after="80"/>
      </w:pPr>
      <w:r>
        <w:rPr>
          <w:rFonts w:ascii="Arial" w:cs="Arial" w:eastAsia="Arial" w:hAnsi="Arial"/>
          <w:sz w:val="22"/>
          <w:szCs w:val="22"/>
        </w:rPr>
        <w:t xml:space="preserve">Authentication Module: Splash, onboarding, login, registration, OTP verification, PIN management.</w:t>
      </w:r>
    </w:p>
    <w:p>
      <w:pPr>
        <w:pStyle w:val="ListParagraph"/>
        <w:numPr>
          <w:ilvl w:val="0"/>
          <w:numId w:val="2"/>
        </w:numPr>
        <w:spacing w:after="80"/>
      </w:pPr>
      <w:r>
        <w:rPr>
          <w:rFonts w:ascii="Arial" w:cs="Arial" w:eastAsia="Arial" w:hAnsi="Arial"/>
          <w:sz w:val="22"/>
          <w:szCs w:val="22"/>
        </w:rPr>
        <w:t xml:space="preserve">KYC Module: National ID upload with camera overlay, RCCM upload, verification status display.</w:t>
      </w:r>
    </w:p>
    <w:p>
      <w:pPr>
        <w:pStyle w:val="ListParagraph"/>
        <w:numPr>
          <w:ilvl w:val="0"/>
          <w:numId w:val="2"/>
        </w:numPr>
        <w:spacing w:after="80"/>
      </w:pPr>
      <w:r>
        <w:rPr>
          <w:rFonts w:ascii="Arial" w:cs="Arial" w:eastAsia="Arial" w:hAnsi="Arial"/>
          <w:sz w:val="22"/>
          <w:szCs w:val="22"/>
        </w:rPr>
        <w:t xml:space="preserve">Records Module: Sales, expenses, and stock purchase CRUD with offline persistence via WatermelonDB.</w:t>
      </w:r>
    </w:p>
    <w:p>
      <w:pPr>
        <w:pStyle w:val="ListParagraph"/>
        <w:numPr>
          <w:ilvl w:val="0"/>
          <w:numId w:val="2"/>
        </w:numPr>
        <w:spacing w:after="80"/>
      </w:pPr>
      <w:r>
        <w:rPr>
          <w:rFonts w:ascii="Arial" w:cs="Arial" w:eastAsia="Arial" w:hAnsi="Arial"/>
          <w:sz w:val="22"/>
          <w:szCs w:val="22"/>
        </w:rPr>
        <w:t xml:space="preserve">Verification Module: Receipt camera capture, gallery upload, manual entry, result display, history.</w:t>
      </w:r>
    </w:p>
    <w:p>
      <w:pPr>
        <w:pStyle w:val="ListParagraph"/>
        <w:numPr>
          <w:ilvl w:val="0"/>
          <w:numId w:val="2"/>
        </w:numPr>
        <w:spacing w:after="80"/>
      </w:pPr>
      <w:r>
        <w:rPr>
          <w:rFonts w:ascii="Arial" w:cs="Arial" w:eastAsia="Arial" w:hAnsi="Arial"/>
          <w:sz w:val="22"/>
          <w:szCs w:val="22"/>
        </w:rPr>
        <w:t xml:space="preserve">Score Module: Trust Score ring display, 6-category breakdown, trend chart, Claude-generated explanations.</w:t>
      </w:r>
    </w:p>
    <w:p>
      <w:pPr>
        <w:pStyle w:val="ListParagraph"/>
        <w:numPr>
          <w:ilvl w:val="0"/>
          <w:numId w:val="2"/>
        </w:numPr>
        <w:spacing w:after="80"/>
      </w:pPr>
      <w:r>
        <w:rPr>
          <w:rFonts w:ascii="Arial" w:cs="Arial" w:eastAsia="Arial" w:hAnsi="Arial"/>
          <w:sz w:val="22"/>
          <w:szCs w:val="22"/>
        </w:rPr>
        <w:t xml:space="preserve">Statistics Module: Timeframe-switched views (weekly/monthly/annual), charts via victory-native, prediction cards.</w:t>
      </w:r>
    </w:p>
    <w:p>
      <w:pPr>
        <w:pStyle w:val="ListParagraph"/>
        <w:numPr>
          <w:ilvl w:val="0"/>
          <w:numId w:val="2"/>
        </w:numPr>
        <w:spacing w:after="80"/>
      </w:pPr>
      <w:r>
        <w:rPr>
          <w:rFonts w:ascii="Arial" w:cs="Arial" w:eastAsia="Arial" w:hAnsi="Arial"/>
          <w:sz w:val="22"/>
          <w:szCs w:val="22"/>
        </w:rPr>
        <w:t xml:space="preserve">Dashboard Module: Homepage aggregation, notifications, profile management, language selection, help.</w:t>
      </w:r>
    </w:p>
    <w:p>
      <w:pPr>
        <w:spacing w:after="80"/>
      </w:pPr>
    </w:p>
    <w:p>
      <w:pPr>
        <w:pStyle w:val="Heading2"/>
      </w:pPr>
      <w:r>
        <w:t xml:space="preserve">2.2 Backend Service Components</w:t>
      </w:r>
    </w:p>
    <w:p>
      <w:pPr>
        <w:spacing w:after="120"/>
      </w:pPr>
      <w:r>
        <w:rPr>
          <w:rFonts w:ascii="Arial" w:cs="Arial" w:eastAsia="Arial" w:hAnsi="Arial"/>
          <w:sz w:val="22"/>
          <w:szCs w:val="22"/>
        </w:rPr>
        <w:t xml:space="preserve">The FastAPI backend is structured as a collection of loosely coupled services, each responsible for a distinct domain:</w:t>
      </w:r>
    </w:p>
    <w:p>
      <w:pPr>
        <w:spacing w:after="80"/>
      </w:pPr>
    </w:p>
    <w:p>
      <w:pPr>
        <w:pStyle w:val="Heading3"/>
      </w:pPr>
      <w:r>
        <w:t xml:space="preserve">Auth Service</w:t>
      </w:r>
    </w:p>
    <w:p>
      <w:pPr>
        <w:spacing w:after="120"/>
      </w:pPr>
      <w:r>
        <w:rPr>
          <w:rFonts w:ascii="Arial" w:cs="Arial" w:eastAsia="Arial" w:hAnsi="Arial"/>
          <w:sz w:val="22"/>
          <w:szCs w:val="22"/>
        </w:rPr>
        <w:t xml:space="preserve">Handles merchant registration with phone + PIN, JWT token issuance (15min access + 30-day refresh), OTP generation and verification via Africa's Talking, and PIN reset flow. All tokens are signed with RS256 and validated via middleware on protected routes.</w:t>
      </w:r>
    </w:p>
    <w:p>
      <w:pPr>
        <w:spacing w:after="80"/>
      </w:pPr>
    </w:p>
    <w:p>
      <w:pPr>
        <w:pStyle w:val="Heading3"/>
      </w:pPr>
      <w:r>
        <w:t xml:space="preserve">Records Service</w:t>
      </w:r>
    </w:p>
    <w:p>
      <w:pPr>
        <w:spacing w:after="120"/>
      </w:pPr>
      <w:r>
        <w:rPr>
          <w:rFonts w:ascii="Arial" w:cs="Arial" w:eastAsia="Arial" w:hAnsi="Arial"/>
          <w:sz w:val="22"/>
          <w:szCs w:val="22"/>
        </w:rPr>
        <w:t xml:space="preserve">Manages CRUD operations for sales, expenses, and stock purchases. Provides a batch sync endpoint that accepts WatermelonDB payloads for offline-to-cloud synchronization. Conflict resolution uses last-write-wins with server timestamps.</w:t>
      </w:r>
    </w:p>
    <w:p>
      <w:pPr>
        <w:spacing w:after="80"/>
      </w:pPr>
    </w:p>
    <w:p>
      <w:pPr>
        <w:pStyle w:val="Heading3"/>
      </w:pPr>
      <w:r>
        <w:t xml:space="preserve">Verification Service</w:t>
      </w:r>
    </w:p>
    <w:p>
      <w:pPr>
        <w:spacing w:after="120"/>
      </w:pPr>
      <w:r>
        <w:rPr>
          <w:rFonts w:ascii="Arial" w:cs="Arial" w:eastAsia="Arial" w:hAnsi="Arial"/>
          <w:sz w:val="22"/>
          <w:szCs w:val="22"/>
        </w:rPr>
        <w:t xml:space="preserve">Accepts receipt image uploads via multipart/form-data. Saves images to Supabase Storage, queues the image for async AI processing, and returns a job ID. Supports WebSocket-based real-time result delivery and polling via REST.</w:t>
      </w:r>
    </w:p>
    <w:p>
      <w:pPr>
        <w:spacing w:after="80"/>
      </w:pPr>
    </w:p>
    <w:p>
      <w:pPr>
        <w:pStyle w:val="Heading3"/>
      </w:pPr>
      <w:r>
        <w:t xml:space="preserve">AI Service</w:t>
      </w:r>
    </w:p>
    <w:p>
      <w:pPr>
        <w:spacing w:after="120"/>
      </w:pPr>
      <w:r>
        <w:rPr>
          <w:rFonts w:ascii="Arial" w:cs="Arial" w:eastAsia="Arial" w:hAnsi="Arial"/>
          <w:sz w:val="22"/>
          <w:szCs w:val="22"/>
        </w:rPr>
        <w:t xml:space="preserve">Orchestrates the receipt verification pipeline (pre-processing, OCR, forensics, cross-validation, verdict), credit scoring inference via XGBoost, prediction generation via Prophet, and Claude API calls for plain-language insights.</w:t>
      </w:r>
    </w:p>
    <w:p>
      <w:pPr>
        <w:spacing w:after="80"/>
      </w:pPr>
    </w:p>
    <w:p>
      <w:pPr>
        <w:pStyle w:val="Heading3"/>
      </w:pPr>
      <w:r>
        <w:t xml:space="preserve">Score Service</w:t>
      </w:r>
    </w:p>
    <w:p>
      <w:pPr>
        <w:spacing w:after="120"/>
      </w:pPr>
      <w:r>
        <w:rPr>
          <w:rFonts w:ascii="Arial" w:cs="Arial" w:eastAsia="Arial" w:hAnsi="Arial"/>
          <w:sz w:val="22"/>
          <w:szCs w:val="22"/>
        </w:rPr>
        <w:t xml:space="preserve">Computes the Trust Score from 6 weighted factor categories. Extracts 25+ features from the database, handles missing features for new merchants with weight redistribution, and emits real-time score updates via WebSocket.</w:t>
      </w:r>
    </w:p>
    <w:p>
      <w:pPr>
        <w:spacing w:after="80"/>
      </w:pPr>
    </w:p>
    <w:p>
      <w:pPr>
        <w:pStyle w:val="Heading3"/>
      </w:pPr>
      <w:r>
        <w:t xml:space="preserve">Statistics Service</w:t>
      </w:r>
    </w:p>
    <w:p>
      <w:pPr>
        <w:spacing w:after="120"/>
      </w:pPr>
      <w:r>
        <w:rPr>
          <w:rFonts w:ascii="Arial" w:cs="Arial" w:eastAsia="Arial" w:hAnsi="Arial"/>
          <w:sz w:val="22"/>
          <w:szCs w:val="22"/>
        </w:rPr>
        <w:t xml:space="preserve">Aggregates merchant transaction data into weekly, monthly, and annual summaries. Returns chart-ready JSON arrays. Triggers prediction model inference when sufficient data thresholds are met.</w:t>
      </w:r>
    </w:p>
    <w:p>
      <w:pPr>
        <w:spacing w:after="80"/>
      </w:pPr>
    </w:p>
    <w:p>
      <w:pPr>
        <w:pStyle w:val="Heading3"/>
      </w:pPr>
      <w:r>
        <w:t xml:space="preserve">KYC Service</w:t>
      </w:r>
    </w:p>
    <w:p>
      <w:pPr>
        <w:spacing w:after="120"/>
      </w:pPr>
      <w:r>
        <w:rPr>
          <w:rFonts w:ascii="Arial" w:cs="Arial" w:eastAsia="Arial" w:hAnsi="Arial"/>
          <w:sz w:val="22"/>
          <w:szCs w:val="22"/>
        </w:rPr>
        <w:t xml:space="preserve">Accepts National ID and RCCM document images. Runs OCR to extract name and NIN. Cross-validates extracted name against registration data using fuzzy matching for Cameroonian name variants. Documents are deleted from storage after successful verification.</w:t>
      </w:r>
    </w:p>
    <w:p>
      <w:pPr>
        <w:spacing w:after="80"/>
      </w:pPr>
    </w:p>
    <w:p>
      <w:pPr>
        <w:pStyle w:val="Heading3"/>
      </w:pPr>
      <w:r>
        <w:t xml:space="preserve">Notification Service</w:t>
      </w:r>
    </w:p>
    <w:p>
      <w:pPr>
        <w:spacing w:after="120"/>
      </w:pPr>
      <w:r>
        <w:rPr>
          <w:rFonts w:ascii="Arial" w:cs="Arial" w:eastAsia="Arial" w:hAnsi="Arial"/>
          <w:sz w:val="22"/>
          <w:szCs w:val="22"/>
        </w:rPr>
        <w:t xml:space="preserve">Handles push notifications via Expo Push API and critical SMS alerts via Africa's Talking. Manages device token registration, notification preferences, and notification history.</w:t>
      </w:r>
    </w:p>
    <w:p>
      <w:pPr>
        <w:spacing w:after="80"/>
      </w:pPr>
    </w:p>
    <w:p>
      <w:pPr>
        <w:pStyle w:val="Heading1"/>
      </w:pPr>
      <w:r>
        <w:t xml:space="preserve">3. Data Flow Design</w:t>
      </w:r>
    </w:p>
    <w:p>
      <w:pPr>
        <w:pStyle w:val="Heading2"/>
      </w:pPr>
      <w:r>
        <w:t xml:space="preserve">3.1 Offline Sync Flow</w:t>
      </w:r>
    </w:p>
    <w:p>
      <w:pPr>
        <w:spacing w:after="120"/>
      </w:pPr>
      <w:r>
        <w:rPr>
          <w:rFonts w:ascii="Arial" w:cs="Arial" w:eastAsia="Arial" w:hAnsi="Arial"/>
          <w:sz w:val="22"/>
          <w:szCs w:val="22"/>
        </w:rPr>
        <w:t xml:space="preserve">All user actions (add sale, add expense, upload receipt) write to WatermelonDB immediately. A background sync queue monitors connectivity. When online, pending records are uploaded to Supabase in creation order. Receipt images are uploaded as binary blobs. Trust Score recalculation is triggered server-side after each successful sync.</w:t>
      </w:r>
    </w:p>
    <w:p>
      <w:pPr>
        <w:spacing w:after="80"/>
      </w:pPr>
    </w:p>
    <w:p>
      <w:pPr>
        <w:pStyle w:val="Heading2"/>
      </w:pPr>
      <w:r>
        <w:t xml:space="preserve">3.2 Receipt Verification Data Flow</w:t>
      </w:r>
    </w:p>
    <w:p>
      <w:pPr>
        <w:spacing w:after="120"/>
      </w:pPr>
      <w:r>
        <w:rPr>
          <w:rFonts w:ascii="Arial" w:cs="Arial" w:eastAsia="Arial" w:hAnsi="Arial"/>
          <w:sz w:val="22"/>
          <w:szCs w:val="22"/>
        </w:rPr>
        <w:t xml:space="preserve">The receipt verification pipeline follows six sequential stages: (1) Pre-Processing (resize, denoise, deskew), (2) OCR via EasyOCR extracting structured JSON, (3) Image Forensics (EXIF, ELA, font analysis, template hash), (4) Cross-Validation against merchant records, (5) Verdict determination (Authentic/Suspicious/Pending), and (6) Score Update for authenticated receipts.</w:t>
      </w:r>
    </w:p>
    <w:p>
      <w:pPr>
        <w:spacing w:after="80"/>
      </w:pPr>
    </w:p>
    <w:p>
      <w:pPr>
        <w:pStyle w:val="Heading2"/>
      </w:pPr>
      <w:r>
        <w:t xml:space="preserve">3.3 Credit Scoring Data Flow</w:t>
      </w:r>
    </w:p>
    <w:p>
      <w:pPr>
        <w:spacing w:after="120"/>
      </w:pPr>
      <w:r>
        <w:rPr>
          <w:rFonts w:ascii="Arial" w:cs="Arial" w:eastAsia="Arial" w:hAnsi="Arial"/>
          <w:sz w:val="22"/>
          <w:szCs w:val="22"/>
        </w:rPr>
        <w:t xml:space="preserve">The score calculation pipeline extracts features from all six categories, applies weight redistribution for categories with missing data (e.g., Loan History for new merchants), runs XGBoost inference (&lt;100ms), generates category contributions and improvement suggestions, calls Claude API for plain-language explanation, and emits the updated score via WebSocket.</w:t>
      </w:r>
    </w:p>
    <w:p>
      <w:pPr>
        <w:spacing w:after="80"/>
      </w:pPr>
    </w:p>
    <w:p>
      <w:pPr>
        <w:pStyle w:val="Heading2"/>
      </w:pPr>
      <w:r>
        <w:t xml:space="preserve">3.4 AI Training Pipeline</w:t>
      </w:r>
    </w:p>
    <w:p>
      <w:pPr>
        <w:spacing w:after="120"/>
      </w:pPr>
      <w:r>
        <w:rPr>
          <w:rFonts w:ascii="Arial" w:cs="Arial" w:eastAsia="Arial" w:hAnsi="Arial"/>
          <w:sz w:val="22"/>
          <w:szCs w:val="22"/>
        </w:rPr>
        <w:t xml:space="preserve">Individual merchant records pass through an anonymization layer (stripping merchant_id, name, phone while retaining business_category, region, amounts, dates), then through a weekly aggregation service. The resulting training dataset is partitioned by business category and used to retrain the Sales Forecasting Model (Prophet, weekly), Restock Timing Model (linear regression, weekly), Cash Flow Model (Prophet, weekly), and Slow Period Model (seasonal decomposition, monthly).</w:t>
      </w:r>
    </w:p>
    <w:p>
      <w:pPr>
        <w:spacing w:after="80"/>
      </w:pPr>
    </w:p>
    <w:p>
      <w:pPr>
        <w:pStyle w:val="Heading1"/>
      </w:pPr>
      <w:r>
        <w:t xml:space="preserve">4. Database Design</w:t>
      </w:r>
    </w:p>
    <w:p>
      <w:pPr>
        <w:pStyle w:val="Heading2"/>
      </w:pPr>
      <w:r>
        <w:t xml:space="preserve">4.1 Entity Relationship Summary</w:t>
      </w:r>
    </w:p>
    <w:p>
      <w:pPr>
        <w:spacing w:after="120"/>
      </w:pPr>
      <w:r>
        <w:rPr>
          <w:rFonts w:ascii="Arial" w:cs="Arial" w:eastAsia="Arial" w:hAnsi="Arial"/>
          <w:sz w:val="22"/>
          <w:szCs w:val="22"/>
        </w:rPr>
        <w:t xml:space="preserve">The merchants table is the central entity, with one-to-many relationships to sales, expenses, stock_purchases, receipt_verifications, trust_score_history, predictions, and notifications. The merchant_kyc table has a one-to-one relationship with merchants. Row-Level Security (RLS) policies ensure merchants can only access their own data.</w:t>
      </w:r>
    </w:p>
    <w:p>
      <w:pPr>
        <w:spacing w:after="80"/>
      </w:pPr>
    </w:p>
    <w:p>
      <w:pPr>
        <w:pStyle w:val="Heading2"/>
      </w:pPr>
      <w:r>
        <w:t xml:space="preserve">4.2 Storage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Bucket</w:t>
            </w:r>
          </w:p>
        </w:tc>
        <w:tc>
          <w:tcPr>
            <w:tcW w:type="dxa" w:w="30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Access</w:t>
            </w:r>
          </w:p>
        </w:tc>
        <w:tc>
          <w:tcPr>
            <w:tcW w:type="dxa" w:w="386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Contents</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receipt-images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Private, RLS enforced</w:t>
            </w:r>
          </w:p>
        </w:tc>
        <w:tc>
          <w:tcPr>
            <w:tcW w:type="dxa" w:w="3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Uploaded receipt images (deleted after verification)</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kyc-documents</w:t>
            </w:r>
          </w:p>
        </w:tc>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Private, restricted</w:t>
            </w:r>
          </w:p>
        </w:tc>
        <w:tc>
          <w:tcPr>
            <w:tcW w:type="dxa" w:w="3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National ID and RCCM images (deleted after verification)</w:t>
            </w:r>
          </w:p>
        </w:tc>
      </w:tr>
    </w:tbl>
    <w:p>
      <w:pPr>
        <w:spacing w:after="80"/>
      </w:pPr>
    </w:p>
    <w:p>
      <w:pPr>
        <w:pStyle w:val="Heading1"/>
      </w:pPr>
      <w:r>
        <w:t xml:space="preserve">5. Security Design</w:t>
      </w:r>
    </w:p>
    <w:p>
      <w:pPr>
        <w:pStyle w:val="Heading2"/>
      </w:pPr>
      <w:r>
        <w:t xml:space="preserve">5.1 Authentication &amp; Authorization</w:t>
      </w:r>
    </w:p>
    <w:p>
      <w:pPr>
        <w:spacing w:after="120"/>
      </w:pPr>
      <w:r>
        <w:rPr>
          <w:rFonts w:ascii="Arial" w:cs="Arial" w:eastAsia="Arial" w:hAnsi="Arial"/>
          <w:sz w:val="22"/>
          <w:szCs w:val="22"/>
        </w:rPr>
        <w:t xml:space="preserve">The system uses JWT-based authentication with short-lived access tokens (15 minutes) and long-lived refresh tokens (30 days). PINs are hashed with bcrypt and stored via expo-secure-store on the device. All API endpoints except auth routes require Bearer token authentication.</w:t>
      </w:r>
    </w:p>
    <w:p>
      <w:pPr>
        <w:spacing w:after="80"/>
      </w:pPr>
    </w:p>
    <w:p>
      <w:pPr>
        <w:pStyle w:val="Heading2"/>
      </w:pPr>
      <w:r>
        <w:t xml:space="preserve">5.2 Data Protection</w:t>
      </w:r>
    </w:p>
    <w:p>
      <w:pPr>
        <w:pStyle w:val="ListParagraph"/>
        <w:numPr>
          <w:ilvl w:val="0"/>
          <w:numId w:val="3"/>
        </w:numPr>
        <w:spacing w:after="80"/>
      </w:pPr>
      <w:r>
        <w:rPr>
          <w:rFonts w:ascii="Arial" w:cs="Arial" w:eastAsia="Arial" w:hAnsi="Arial"/>
          <w:sz w:val="22"/>
          <w:szCs w:val="22"/>
        </w:rPr>
        <w:t xml:space="preserve">TLS 1.3 encryption for all data in transit.</w:t>
      </w:r>
    </w:p>
    <w:p>
      <w:pPr>
        <w:pStyle w:val="ListParagraph"/>
        <w:numPr>
          <w:ilvl w:val="0"/>
          <w:numId w:val="3"/>
        </w:numPr>
        <w:spacing w:after="80"/>
      </w:pPr>
      <w:r>
        <w:rPr>
          <w:rFonts w:ascii="Arial" w:cs="Arial" w:eastAsia="Arial" w:hAnsi="Arial"/>
          <w:sz w:val="22"/>
          <w:szCs w:val="22"/>
        </w:rPr>
        <w:t xml:space="preserve">AES-256 encryption at rest in Supabase.</w:t>
      </w:r>
    </w:p>
    <w:p>
      <w:pPr>
        <w:pStyle w:val="ListParagraph"/>
        <w:numPr>
          <w:ilvl w:val="0"/>
          <w:numId w:val="3"/>
        </w:numPr>
        <w:spacing w:after="80"/>
      </w:pPr>
      <w:r>
        <w:rPr>
          <w:rFonts w:ascii="Arial" w:cs="Arial" w:eastAsia="Arial" w:hAnsi="Arial"/>
          <w:sz w:val="22"/>
          <w:szCs w:val="22"/>
        </w:rPr>
        <w:t xml:space="preserve">Row-Level Security (RLS) policies prevent cross-merchant data access.</w:t>
      </w:r>
    </w:p>
    <w:p>
      <w:pPr>
        <w:pStyle w:val="ListParagraph"/>
        <w:numPr>
          <w:ilvl w:val="0"/>
          <w:numId w:val="3"/>
        </w:numPr>
        <w:spacing w:after="80"/>
      </w:pPr>
      <w:r>
        <w:rPr>
          <w:rFonts w:ascii="Arial" w:cs="Arial" w:eastAsia="Arial" w:hAnsi="Arial"/>
          <w:sz w:val="22"/>
          <w:szCs w:val="22"/>
        </w:rPr>
        <w:t xml:space="preserve">Receipt and KYC images deleted after processing; only structured extracted data retained.</w:t>
      </w:r>
    </w:p>
    <w:p>
      <w:pPr>
        <w:pStyle w:val="ListParagraph"/>
        <w:numPr>
          <w:ilvl w:val="0"/>
          <w:numId w:val="3"/>
        </w:numPr>
        <w:spacing w:after="80"/>
      </w:pPr>
      <w:r>
        <w:rPr>
          <w:rFonts w:ascii="Arial" w:cs="Arial" w:eastAsia="Arial" w:hAnsi="Arial"/>
          <w:sz w:val="22"/>
          <w:szCs w:val="22"/>
        </w:rPr>
        <w:t xml:space="preserve">Explicit user consent required for all data processing at registration.</w:t>
      </w:r>
    </w:p>
    <w:p>
      <w:pPr>
        <w:pStyle w:val="ListParagraph"/>
        <w:numPr>
          <w:ilvl w:val="0"/>
          <w:numId w:val="3"/>
        </w:numPr>
        <w:spacing w:after="80"/>
      </w:pPr>
      <w:r>
        <w:rPr>
          <w:rFonts w:ascii="Arial" w:cs="Arial" w:eastAsia="Arial" w:hAnsi="Arial"/>
          <w:sz w:val="22"/>
          <w:szCs w:val="22"/>
        </w:rPr>
        <w:t xml:space="preserve">Compliance with Cameroonian data protection law (Loi n°2010/012).</w:t>
      </w:r>
    </w:p>
    <w:p>
      <w:pPr>
        <w:spacing w:after="80"/>
      </w:pPr>
    </w:p>
    <w:p>
      <w:pPr>
        <w:pStyle w:val="Heading2"/>
      </w:pPr>
      <w:r>
        <w:t xml:space="preserve">5.3 Fraud Prevention</w:t>
      </w:r>
    </w:p>
    <w:p>
      <w:pPr>
        <w:spacing w:after="120"/>
      </w:pPr>
      <w:r>
        <w:rPr>
          <w:rFonts w:ascii="Arial" w:cs="Arial" w:eastAsia="Arial" w:hAnsi="Arial"/>
          <w:sz w:val="22"/>
          <w:szCs w:val="22"/>
        </w:rPr>
        <w:t xml:space="preserve">The receipt verification pipeline includes multi-layer forensics: EXIF metadata checks, Error Level Analysis for image editing detection, font consistency analysis, template hash checking, amount plausibility verification, supplier consistency matching, date logic validation, and submission frequency monitoring.</w:t>
      </w:r>
    </w:p>
    <w:p>
      <w:pPr>
        <w:spacing w:after="80"/>
      </w:pPr>
    </w:p>
    <w:p>
      <w:pPr>
        <w:pStyle w:val="Heading1"/>
      </w:pPr>
      <w:r>
        <w:t xml:space="preserve">6. Scalability Considerations</w:t>
      </w:r>
    </w:p>
    <w:p>
      <w:pPr>
        <w:pStyle w:val="ListParagraph"/>
        <w:numPr>
          <w:ilvl w:val="0"/>
          <w:numId w:val="4"/>
        </w:numPr>
        <w:spacing w:after="80"/>
      </w:pPr>
      <w:r>
        <w:rPr>
          <w:rFonts w:ascii="Arial" w:cs="Arial" w:eastAsia="Arial" w:hAnsi="Arial"/>
          <w:sz w:val="22"/>
          <w:szCs w:val="22"/>
        </w:rPr>
        <w:t xml:space="preserve">Stateless backend enables horizontal scaling behind a load balancer.</w:t>
      </w:r>
    </w:p>
    <w:p>
      <w:pPr>
        <w:pStyle w:val="ListParagraph"/>
        <w:numPr>
          <w:ilvl w:val="0"/>
          <w:numId w:val="4"/>
        </w:numPr>
        <w:spacing w:after="80"/>
      </w:pPr>
      <w:r>
        <w:rPr>
          <w:rFonts w:ascii="Arial" w:cs="Arial" w:eastAsia="Arial" w:hAnsi="Arial"/>
          <w:sz w:val="22"/>
          <w:szCs w:val="22"/>
        </w:rPr>
        <w:t xml:space="preserve">Database connection pooling via Supabase manages concurrent connections.</w:t>
      </w:r>
    </w:p>
    <w:p>
      <w:pPr>
        <w:pStyle w:val="ListParagraph"/>
        <w:numPr>
          <w:ilvl w:val="0"/>
          <w:numId w:val="4"/>
        </w:numPr>
        <w:spacing w:after="80"/>
      </w:pPr>
      <w:r>
        <w:rPr>
          <w:rFonts w:ascii="Arial" w:cs="Arial" w:eastAsia="Arial" w:hAnsi="Arial"/>
          <w:sz w:val="22"/>
          <w:szCs w:val="22"/>
        </w:rPr>
        <w:t xml:space="preserve">Redis caching for statistics and predictions endpoints reduces database load.</w:t>
      </w:r>
    </w:p>
    <w:p>
      <w:pPr>
        <w:pStyle w:val="ListParagraph"/>
        <w:numPr>
          <w:ilvl w:val="0"/>
          <w:numId w:val="4"/>
        </w:numPr>
        <w:spacing w:after="80"/>
      </w:pPr>
      <w:r>
        <w:rPr>
          <w:rFonts w:ascii="Arial" w:cs="Arial" w:eastAsia="Arial" w:hAnsi="Arial"/>
          <w:sz w:val="22"/>
          <w:szCs w:val="22"/>
        </w:rPr>
        <w:t xml:space="preserve">AI model inference runs as async background workers, decoupled from API request lifecycle.</w:t>
      </w:r>
    </w:p>
    <w:p>
      <w:pPr>
        <w:pStyle w:val="ListParagraph"/>
        <w:numPr>
          <w:ilvl w:val="0"/>
          <w:numId w:val="4"/>
        </w:numPr>
        <w:spacing w:after="80"/>
      </w:pPr>
      <w:r>
        <w:rPr>
          <w:rFonts w:ascii="Arial" w:cs="Arial" w:eastAsia="Arial" w:hAnsi="Arial"/>
          <w:sz w:val="22"/>
          <w:szCs w:val="22"/>
        </w:rPr>
        <w:t xml:space="preserve">Weekly batch retraining of prediction models runs during off-peak hours.</w:t>
      </w:r>
    </w:p>
    <w:p>
      <w:pPr>
        <w:pStyle w:val="ListParagraph"/>
        <w:numPr>
          <w:ilvl w:val="0"/>
          <w:numId w:val="4"/>
        </w:numPr>
        <w:spacing w:after="80"/>
      </w:pPr>
      <w:r>
        <w:rPr>
          <w:rFonts w:ascii="Arial" w:cs="Arial" w:eastAsia="Arial" w:hAnsi="Arial"/>
          <w:sz w:val="22"/>
          <w:szCs w:val="22"/>
        </w:rPr>
        <w:t xml:space="preserve">The AI training pipeline is partitioned by business category, enabling independent model updates.</w:t>
      </w:r>
    </w:p>
    <w:p>
      <w:pPr>
        <w:spacing w:after="80"/>
      </w:pPr>
    </w:p>
    <w:p>
      <w:pPr>
        <w:pStyle w:val="Heading1"/>
      </w:pPr>
      <w:r>
        <w:t xml:space="preserve">7. Deployment Architecture</w:t>
      </w:r>
    </w:p>
    <w:p>
      <w:pPr>
        <w:spacing w:after="120"/>
      </w:pPr>
      <w:r>
        <w:rPr>
          <w:rFonts w:ascii="Arial" w:cs="Arial" w:eastAsia="Arial" w:hAnsi="Arial"/>
          <w:sz w:val="22"/>
          <w:szCs w:val="22"/>
        </w:rPr>
        <w:t xml:space="preserve">The system is deployed using CI/CD via GitHub Actions. The FastAPI backend is hosted on a cloud provider (Railway, Render, or AWS EC2). Supabase provides managed PostgreSQL and object storage. EAS Build handles Android APK and iOS TestFlight builds. Monitoring is provided by Sentry (errors) and PostHog (anonymized analytics).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C3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5C3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2026-04-06T14:32:26.839Z</dcterms:created>
  <dcterms:modified xsi:type="dcterms:W3CDTF">2026-04-06T14:32:26.839Z</dcterms:modified>
</cp:coreProperties>
</file>

<file path=docProps/custom.xml><?xml version="1.0" encoding="utf-8"?>
<Properties xmlns="http://schemas.openxmlformats.org/officeDocument/2006/custom-properties" xmlns:vt="http://schemas.openxmlformats.org/officeDocument/2006/docPropsVTypes"/>
</file>