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C3A"/>
          <w:sz w:val="52"/>
          <w:szCs w:val="52"/>
        </w:rPr>
        <w:t xml:space="preserve">MBOATRUST AI</w:t>
      </w:r>
    </w:p>
    <w:p>
      <w:pPr>
        <w:spacing w:after="400"/>
        <w:jc w:val="center"/>
      </w:pPr>
      <w:r>
        <w:rPr>
          <w:rFonts w:ascii="Arial" w:cs="Arial" w:eastAsia="Arial" w:hAnsi="Arial"/>
          <w:b/>
          <w:bCs/>
          <w:color w:val="1F2937"/>
          <w:sz w:val="36"/>
          <w:szCs w:val="36"/>
        </w:rPr>
        <w:t xml:space="preserve">Business Plan</w:t>
      </w:r>
    </w:p>
    <w:p>
      <w:pPr>
        <w:spacing w:after="200"/>
        <w:jc w:val="center"/>
      </w:pPr>
      <w:r>
        <w:rPr>
          <w:rFonts w:ascii="Arial" w:cs="Arial" w:eastAsia="Arial" w:hAnsi="Arial"/>
          <w:color w:val="6B7280"/>
          <w:sz w:val="24"/>
          <w:szCs w:val="24"/>
        </w:rPr>
        <w:t xml:space="preserve">Market Opportunity, Revenue Model &amp; Growth Strategy</w:t>
      </w:r>
    </w:p>
    <w:p>
      <w:pPr>
        <w:pBdr>
          <w:bottom w:val="single" w:color="4CAF7D" w:sz="8" w:space="8"/>
        </w:pBdr>
        <w:spacing w:after="600"/>
        <w:jc w:val="center"/>
      </w:pPr>
    </w:p>
    <w:p>
      <w:pPr>
        <w:spacing w:after="100"/>
        <w:jc w:val="center"/>
      </w:pPr>
      <w:r>
        <w:rPr>
          <w:rFonts w:ascii="Arial" w:cs="Arial" w:eastAsia="Arial" w:hAnsi="Arial"/>
          <w:color w:val="6B7280"/>
          <w:sz w:val="22"/>
          <w:szCs w:val="22"/>
        </w:rPr>
        <w:t xml:space="preserve">Version 1.0</w:t>
      </w:r>
    </w:p>
    <w:p>
      <w:pPr>
        <w:spacing w:after="100"/>
        <w:jc w:val="center"/>
      </w:pPr>
      <w:r>
        <w:rPr>
          <w:rFonts w:ascii="Arial" w:cs="Arial" w:eastAsia="Arial" w:hAnsi="Arial"/>
          <w:color w:val="6B7280"/>
          <w:sz w:val="22"/>
          <w:szCs w:val="22"/>
        </w:rPr>
        <w:t xml:space="preserve">Date: April 6, 2026</w:t>
      </w:r>
    </w:p>
    <w:p>
      <w:pPr>
        <w:spacing w:after="100"/>
        <w:jc w:val="center"/>
      </w:pPr>
      <w:r>
        <w:rPr>
          <w:rFonts w:ascii="Arial" w:cs="Arial" w:eastAsia="Arial" w:hAnsi="Arial"/>
          <w:color w:val="6B7280"/>
          <w:sz w:val="22"/>
          <w:szCs w:val="22"/>
        </w:rPr>
        <w:t xml:space="preserve">Status: Draft</w:t>
      </w:r>
    </w:p>
    <w:p>
      <w:r>
        <w:r>
          <w:br w:type="page"/>
        </w:r>
      </w:r>
    </w:p>
    <w:p>
      <w:pPr>
        <w:pStyle w:val="Heading1"/>
      </w:pPr>
      <w:r>
        <w:t xml:space="preserve">1. Executive Summary</w:t>
      </w:r>
    </w:p>
    <w:p>
      <w:pPr>
        <w:spacing w:after="120"/>
      </w:pPr>
      <w:r>
        <w:rPr>
          <w:rFonts w:ascii="Arial" w:cs="Arial" w:eastAsia="Arial" w:hAnsi="Arial"/>
          <w:sz w:val="22"/>
          <w:szCs w:val="22"/>
        </w:rPr>
        <w:t xml:space="preserve">MboaTrust AI is an AI-powered mobile platform that creates digital financial identities for merchants in Cameroon's informal economy. By transforming everyday business activities into verifiable financial data, the platform enables over 3 million unbanked merchants to build credit scores and access microloans from partner Microfinance Institutions (MFIs).</w:t>
      </w:r>
    </w:p>
    <w:p>
      <w:pPr>
        <w:spacing w:after="120"/>
      </w:pPr>
      <w:r>
        <w:rPr>
          <w:rFonts w:ascii="Arial" w:cs="Arial" w:eastAsia="Arial" w:hAnsi="Arial"/>
          <w:sz w:val="22"/>
          <w:szCs w:val="22"/>
        </w:rPr>
        <w:t xml:space="preserve">The platform uses AI-driven receipt verification, behavioral analytics, and predictive business intelligence to generate a Trust Score (0–100) that serves as a credit proxy. This addresses a fundamental market failure: merchants who are creditworthy in practice but invisible to formal financial systems.</w:t>
      </w:r>
    </w:p>
    <w:p>
      <w:pPr>
        <w:spacing w:after="80"/>
      </w:pPr>
    </w:p>
    <w:p>
      <w:pPr>
        <w:pStyle w:val="Heading1"/>
      </w:pPr>
      <w:r>
        <w:t xml:space="preserve">2. Problem &amp; Market Opportunity</w:t>
      </w:r>
    </w:p>
    <w:p>
      <w:pPr>
        <w:pStyle w:val="Heading2"/>
      </w:pPr>
      <w:r>
        <w:t xml:space="preserve">2.1 The Problem</w:t>
      </w:r>
    </w:p>
    <w:p>
      <w:pPr>
        <w:spacing w:after="120"/>
      </w:pPr>
      <w:r>
        <w:rPr>
          <w:rFonts w:ascii="Arial" w:cs="Arial" w:eastAsia="Arial" w:hAnsi="Arial"/>
          <w:sz w:val="22"/>
          <w:szCs w:val="22"/>
        </w:rPr>
        <w:t xml:space="preserve">Cameroon has over 3 million active small merchants operating in the informal sector, representing approximately 90% of all businesses. These merchants face a critical financial exclusion problem: without formal credit histories, bank accounts, or verifiable financial records, they cannot access affordable credit. MFIs, which serve as the primary lending channel, lack reliable data to assess creditworthiness, resulting in conservative lending practices and interest rates that can exceed 30% annually.</w:t>
      </w:r>
    </w:p>
    <w:p>
      <w:pPr>
        <w:spacing w:after="80"/>
      </w:pPr>
    </w:p>
    <w:p>
      <w:pPr>
        <w:pStyle w:val="Heading2"/>
      </w:pPr>
      <w:r>
        <w:t xml:space="preserve">2.2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Segment</w:t>
            </w:r>
          </w:p>
        </w:tc>
        <w:tc>
          <w:tcPr>
            <w:tcW w:type="dxa" w:w="25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Estimate</w:t>
            </w:r>
          </w:p>
        </w:tc>
        <w:tc>
          <w:tcPr>
            <w:tcW w:type="dxa" w:w="38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Source/Basis</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Total addressable merchants</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3+ million</w:t>
            </w:r>
          </w:p>
        </w:tc>
        <w:tc>
          <w:tcPr>
            <w:tcW w:type="dxa" w:w="3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Cameroon informal sector statistics</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Smartphone penetration</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~45% and growing</w:t>
            </w:r>
          </w:p>
        </w:tc>
        <w:tc>
          <w:tcPr>
            <w:tcW w:type="dxa" w:w="3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GSMA Mobile Economy Sub-Saharan Africa</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Annual microloan market</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~500 billion FCFA</w:t>
            </w:r>
          </w:p>
        </w:tc>
        <w:tc>
          <w:tcPr>
            <w:tcW w:type="dxa" w:w="3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Cameroon MFI sector reports</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Average microloan size</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200,000–500,000 FCFA</w:t>
            </w:r>
          </w:p>
        </w:tc>
        <w:tc>
          <w:tcPr>
            <w:tcW w:type="dxa" w:w="3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MFI lending data</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Target users (Year 1)</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5,000–10,000 merchants</w:t>
            </w:r>
          </w:p>
        </w:tc>
        <w:tc>
          <w:tcPr>
            <w:tcW w:type="dxa" w:w="3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Conservative adoption estimate</w:t>
            </w:r>
          </w:p>
        </w:tc>
      </w:tr>
    </w:tbl>
    <w:p>
      <w:pPr>
        <w:spacing w:after="80"/>
      </w:pPr>
    </w:p>
    <w:p>
      <w:pPr>
        <w:pStyle w:val="Heading2"/>
      </w:pPr>
      <w:r>
        <w:t xml:space="preserve">2.3 Competitive Landscape</w:t>
      </w:r>
    </w:p>
    <w:p>
      <w:pPr>
        <w:spacing w:after="120"/>
      </w:pPr>
      <w:r>
        <w:rPr>
          <w:rFonts w:ascii="Arial" w:cs="Arial" w:eastAsia="Arial" w:hAnsi="Arial"/>
          <w:sz w:val="22"/>
          <w:szCs w:val="22"/>
        </w:rPr>
        <w:t xml:space="preserve">The Cameroonian market currently lacks a dedicated AI-powered credit scoring solution for informal merchants. Existing alternatives include traditional MFI lending (requires collateral, no digital scoring), mobile money platforms (transactions only, no credit scoring), and generic accounting apps (not designed for informal merchants, no offline support, no local language support).</w:t>
      </w:r>
    </w:p>
    <w:p>
      <w:pPr>
        <w:spacing w:after="120"/>
      </w:pPr>
      <w:r>
        <w:rPr>
          <w:rFonts w:ascii="Arial" w:cs="Arial" w:eastAsia="Arial" w:hAnsi="Arial"/>
          <w:sz w:val="22"/>
          <w:szCs w:val="22"/>
        </w:rPr>
        <w:t xml:space="preserve">MboaTrust AI differentiates through: offline-first architecture, AI-powered receipt verification and fraud detection, explainable credit scoring, multilingual support (including Pidgin), and integration with the local MFI ecosystem.</w:t>
      </w:r>
    </w:p>
    <w:p>
      <w:pPr>
        <w:spacing w:after="80"/>
      </w:pPr>
    </w:p>
    <w:p>
      <w:pPr>
        <w:pStyle w:val="Heading1"/>
      </w:pPr>
      <w:r>
        <w:t xml:space="preserve">3. Product Overview</w:t>
      </w:r>
    </w:p>
    <w:p>
      <w:pPr>
        <w:spacing w:after="120"/>
      </w:pPr>
      <w:r>
        <w:rPr>
          <w:rFonts w:ascii="Arial" w:cs="Arial" w:eastAsia="Arial" w:hAnsi="Arial"/>
          <w:sz w:val="22"/>
          <w:szCs w:val="22"/>
        </w:rPr>
        <w:t xml:space="preserve">MboaTrust AI is a cross-platform mobile application that enables merchants to log business transactions, verify purchase receipts via AI, build a Trust Score, and access business intelligence predictions. The Trust Score serves as a credit proxy for MFI lending decisions.</w:t>
      </w:r>
    </w:p>
    <w:p>
      <w:pPr>
        <w:spacing w:after="80"/>
      </w:pPr>
    </w:p>
    <w:p>
      <w:pPr>
        <w:pStyle w:val="Heading2"/>
      </w:pPr>
      <w:r>
        <w:t xml:space="preserve">3.1 Core Value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Stakeholder</w:t>
            </w:r>
          </w:p>
        </w:tc>
        <w:tc>
          <w:tcPr>
            <w:tcW w:type="dxa" w:w="68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Merchants</w:t>
            </w:r>
          </w:p>
        </w:tc>
        <w:tc>
          <w:tcPr>
            <w:tcW w:type="dxa" w:w="6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Digital financial identity, access to credit, business intelligence, simple record-keeping</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MFIs</w:t>
            </w:r>
          </w:p>
        </w:tc>
        <w:tc>
          <w:tcPr>
            <w:tcW w:type="dxa" w:w="6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Reliable credit assessment data, reduced default risk, larger addressable market</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Suppliers</w:t>
            </w:r>
          </w:p>
        </w:tc>
        <w:tc>
          <w:tcPr>
            <w:tcW w:type="dxa" w:w="6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More financially stable merchant customers, verified purchasing histories</w:t>
            </w:r>
          </w:p>
        </w:tc>
      </w:tr>
    </w:tbl>
    <w:p>
      <w:pPr>
        <w:spacing w:after="80"/>
      </w:pPr>
    </w:p>
    <w:p>
      <w:pPr>
        <w:pStyle w:val="Heading1"/>
      </w:pPr>
      <w:r>
        <w:t xml:space="preserve">4. Revenue Model</w:t>
      </w:r>
    </w:p>
    <w:p>
      <w:pPr>
        <w:pStyle w:val="Heading2"/>
      </w:pPr>
      <w:r>
        <w:t xml:space="preserve">4.1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Stream</w:t>
            </w:r>
          </w:p>
        </w:tc>
        <w:tc>
          <w:tcPr>
            <w:tcW w:type="dxa" w:w="38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7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Pricing Model</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Credit Report Fees</w:t>
            </w:r>
          </w:p>
        </w:tc>
        <w:tc>
          <w:tcPr>
            <w:tcW w:type="dxa" w:w="3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MFIs pay per Trust Score credit report accessed for loan decisions</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Per-report fee (500–1,000 FCFA per report)</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Loan Facilitation Commission</w:t>
            </w:r>
          </w:p>
        </w:tc>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Commission on loans facilitated through the platform</w:t>
            </w:r>
          </w:p>
        </w:tc>
        <w:tc>
          <w:tcPr>
            <w:tcW w:type="dxa" w:w="2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1–3% of loan amount disbursed</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Premium Merchant Features</w:t>
            </w:r>
          </w:p>
        </w:tc>
        <w:tc>
          <w:tcPr>
            <w:tcW w:type="dxa" w:w="3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Advanced analytics, priority verification, enhanced predictions</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Monthly subscription (2,000–5,000 FCFA)</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Data Insights (Aggregated)</w:t>
            </w:r>
          </w:p>
        </w:tc>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Anonymized market intelligence reports for MFIs and development organizations</w:t>
            </w:r>
          </w:p>
        </w:tc>
        <w:tc>
          <w:tcPr>
            <w:tcW w:type="dxa" w:w="2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Annual subscription to MFI partners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API Access</w:t>
            </w:r>
          </w:p>
        </w:tc>
        <w:tc>
          <w:tcPr>
            <w:tcW w:type="dxa" w:w="3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Third-party financial services accessing Trust Score API</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Per-API-call pricing</w:t>
            </w:r>
          </w:p>
        </w:tc>
      </w:tr>
    </w:tbl>
    <w:p>
      <w:pPr>
        <w:spacing w:after="80"/>
      </w:pPr>
    </w:p>
    <w:p>
      <w:pPr>
        <w:pStyle w:val="Heading2"/>
      </w:pPr>
      <w:r>
        <w:t xml:space="preserve">4.2 Financial Projections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760"/>
      </w:tblGrid>
      <w:tr>
        <w:tc>
          <w:tcPr>
            <w:tcW w:type="dxa" w:w="3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8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Year 1</w:t>
            </w:r>
          </w:p>
        </w:tc>
        <w:tc>
          <w:tcPr>
            <w:tcW w:type="dxa" w:w="18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Year 2</w:t>
            </w:r>
          </w:p>
        </w:tc>
        <w:tc>
          <w:tcPr>
            <w:tcW w:type="dxa" w:w="17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Year 3</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Registered Merchants</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5,000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25,000</w:t>
            </w:r>
          </w:p>
        </w:tc>
        <w:tc>
          <w:tcPr>
            <w:tcW w:type="dxa" w:w="1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100,000</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Active Users (monthly)</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2,000</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12,500</w:t>
            </w:r>
          </w:p>
        </w:tc>
        <w:tc>
          <w:tcPr>
            <w:tcW w:type="dxa" w:w="1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60,000</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Credit Reports Generated</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500</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5,000</w:t>
            </w:r>
          </w:p>
        </w:tc>
        <w:tc>
          <w:tcPr>
            <w:tcW w:type="dxa" w:w="1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30,000</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Loans Facilitated</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200</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2,500</w:t>
            </w:r>
          </w:p>
        </w:tc>
        <w:tc>
          <w:tcPr>
            <w:tcW w:type="dxa" w:w="1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15,000</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Estimated Revenue (FCFA)</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25M</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200M</w:t>
            </w:r>
          </w:p>
        </w:tc>
        <w:tc>
          <w:tcPr>
            <w:tcW w:type="dxa" w:w="1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1.2B</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Break-even</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End of Year 2</w:t>
            </w:r>
          </w:p>
        </w:tc>
        <w:tc>
          <w:tcPr>
            <w:tcW w:type="dxa" w:w="1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Profitable</w:t>
            </w:r>
          </w:p>
        </w:tc>
      </w:tr>
    </w:tbl>
    <w:p>
      <w:pPr>
        <w:spacing w:after="80"/>
      </w:pPr>
    </w:p>
    <w:p>
      <w:pPr>
        <w:pStyle w:val="Heading1"/>
      </w:pPr>
      <w:r>
        <w:t xml:space="preserve">5. Go-to-Market Strategy</w:t>
      </w:r>
    </w:p>
    <w:p>
      <w:pPr>
        <w:pStyle w:val="Heading2"/>
      </w:pPr>
      <w:r>
        <w:t xml:space="preserve">5.1 Launch Strategy</w:t>
      </w:r>
    </w:p>
    <w:p>
      <w:pPr>
        <w:spacing w:after="120"/>
      </w:pPr>
      <w:r>
        <w:rPr>
          <w:rFonts w:ascii="Arial" w:cs="Arial" w:eastAsia="Arial" w:hAnsi="Arial"/>
          <w:sz w:val="22"/>
          <w:szCs w:val="22"/>
        </w:rPr>
        <w:t xml:space="preserve">The platform will launch with an Android-first strategy targeting Douala and Yaoundé, Cameroon's two largest commercial centers. Initial merchant acquisition will focus on organized market associations and wholesaler networks, leveraging existing community structures for trust and adoption.</w:t>
      </w:r>
    </w:p>
    <w:p>
      <w:pPr>
        <w:spacing w:after="80"/>
      </w:pPr>
    </w:p>
    <w:p>
      <w:pPr>
        <w:pStyle w:val="Heading2"/>
      </w:pPr>
      <w:r>
        <w:t xml:space="preserve">5.2 Acquisition Channels</w:t>
      </w:r>
    </w:p>
    <w:p>
      <w:pPr>
        <w:pStyle w:val="ListParagraph"/>
        <w:numPr>
          <w:ilvl w:val="0"/>
          <w:numId w:val="2"/>
        </w:numPr>
        <w:spacing w:after="80"/>
      </w:pPr>
      <w:r>
        <w:rPr>
          <w:rFonts w:ascii="Arial" w:cs="Arial" w:eastAsia="Arial" w:hAnsi="Arial"/>
          <w:sz w:val="22"/>
          <w:szCs w:val="22"/>
        </w:rPr>
        <w:t xml:space="preserve">Market Association Partnerships: Partner with established market associations in Douala and Yaoundé to onboard members en masse.</w:t>
      </w:r>
    </w:p>
    <w:p>
      <w:pPr>
        <w:pStyle w:val="ListParagraph"/>
        <w:numPr>
          <w:ilvl w:val="0"/>
          <w:numId w:val="2"/>
        </w:numPr>
        <w:spacing w:after="80"/>
      </w:pPr>
      <w:r>
        <w:rPr>
          <w:rFonts w:ascii="Arial" w:cs="Arial" w:eastAsia="Arial" w:hAnsi="Arial"/>
          <w:sz w:val="22"/>
          <w:szCs w:val="22"/>
        </w:rPr>
        <w:t xml:space="preserve">Wholesaler Referral Networks: Wholesalers recommend MboaTrust AI to their merchant customers as a way to build credit.</w:t>
      </w:r>
    </w:p>
    <w:p>
      <w:pPr>
        <w:pStyle w:val="ListParagraph"/>
        <w:numPr>
          <w:ilvl w:val="0"/>
          <w:numId w:val="2"/>
        </w:numPr>
        <w:spacing w:after="80"/>
      </w:pPr>
      <w:r>
        <w:rPr>
          <w:rFonts w:ascii="Arial" w:cs="Arial" w:eastAsia="Arial" w:hAnsi="Arial"/>
          <w:sz w:val="22"/>
          <w:szCs w:val="22"/>
        </w:rPr>
        <w:t xml:space="preserve">MFI Co-marketing: Joint marketing with MFI partners promoting the Trust Score as a pathway to credit access.</w:t>
      </w:r>
    </w:p>
    <w:p>
      <w:pPr>
        <w:pStyle w:val="ListParagraph"/>
        <w:numPr>
          <w:ilvl w:val="0"/>
          <w:numId w:val="2"/>
        </w:numPr>
        <w:spacing w:after="80"/>
      </w:pPr>
      <w:r>
        <w:rPr>
          <w:rFonts w:ascii="Arial" w:cs="Arial" w:eastAsia="Arial" w:hAnsi="Arial"/>
          <w:sz w:val="22"/>
          <w:szCs w:val="22"/>
        </w:rPr>
        <w:t xml:space="preserve">Field Agent Program: Deploy field agents in major markets to demonstrate the app and assist with onboarding.</w:t>
      </w:r>
    </w:p>
    <w:p>
      <w:pPr>
        <w:pStyle w:val="ListParagraph"/>
        <w:numPr>
          <w:ilvl w:val="0"/>
          <w:numId w:val="2"/>
        </w:numPr>
        <w:spacing w:after="80"/>
      </w:pPr>
      <w:r>
        <w:rPr>
          <w:rFonts w:ascii="Arial" w:cs="Arial" w:eastAsia="Arial" w:hAnsi="Arial"/>
          <w:sz w:val="22"/>
          <w:szCs w:val="22"/>
        </w:rPr>
        <w:t xml:space="preserve">Community Radio &amp; Social Media: Targeted advertising on community radio stations and Facebook/WhatsApp groups.</w:t>
      </w:r>
    </w:p>
    <w:p>
      <w:pPr>
        <w:spacing w:after="80"/>
      </w:pPr>
    </w:p>
    <w:p>
      <w:pPr>
        <w:pStyle w:val="Heading2"/>
      </w:pPr>
      <w:r>
        <w:t xml:space="preserve">5.3 Retention Strategy</w:t>
      </w:r>
    </w:p>
    <w:p>
      <w:pPr>
        <w:pStyle w:val="ListParagraph"/>
        <w:numPr>
          <w:ilvl w:val="0"/>
          <w:numId w:val="3"/>
        </w:numPr>
        <w:spacing w:after="80"/>
      </w:pPr>
      <w:r>
        <w:rPr>
          <w:rFonts w:ascii="Arial" w:cs="Arial" w:eastAsia="Arial" w:hAnsi="Arial"/>
          <w:sz w:val="22"/>
          <w:szCs w:val="22"/>
        </w:rPr>
        <w:t xml:space="preserve">Daily AI insights provide ongoing value beyond credit scoring.</w:t>
      </w:r>
    </w:p>
    <w:p>
      <w:pPr>
        <w:pStyle w:val="ListParagraph"/>
        <w:numPr>
          <w:ilvl w:val="0"/>
          <w:numId w:val="3"/>
        </w:numPr>
        <w:spacing w:after="80"/>
      </w:pPr>
      <w:r>
        <w:rPr>
          <w:rFonts w:ascii="Arial" w:cs="Arial" w:eastAsia="Arial" w:hAnsi="Arial"/>
          <w:sz w:val="22"/>
          <w:szCs w:val="22"/>
        </w:rPr>
        <w:t xml:space="preserve">Prediction alerts (restock timing, cash flow warnings) create habitual engagement.</w:t>
      </w:r>
    </w:p>
    <w:p>
      <w:pPr>
        <w:pStyle w:val="ListParagraph"/>
        <w:numPr>
          <w:ilvl w:val="0"/>
          <w:numId w:val="3"/>
        </w:numPr>
        <w:spacing w:after="80"/>
      </w:pPr>
      <w:r>
        <w:rPr>
          <w:rFonts w:ascii="Arial" w:cs="Arial" w:eastAsia="Arial" w:hAnsi="Arial"/>
          <w:sz w:val="22"/>
          <w:szCs w:val="22"/>
        </w:rPr>
        <w:t xml:space="preserve">Progressive Trust Score gamification motivates consistent record-keeping.</w:t>
      </w:r>
    </w:p>
    <w:p>
      <w:pPr>
        <w:pStyle w:val="ListParagraph"/>
        <w:numPr>
          <w:ilvl w:val="0"/>
          <w:numId w:val="3"/>
        </w:numPr>
        <w:spacing w:after="80"/>
      </w:pPr>
      <w:r>
        <w:rPr>
          <w:rFonts w:ascii="Arial" w:cs="Arial" w:eastAsia="Arial" w:hAnsi="Arial"/>
          <w:sz w:val="22"/>
          <w:szCs w:val="22"/>
        </w:rPr>
        <w:t xml:space="preserve">Multilingual support (including Pidgin) reduces friction for less digitally literate users.</w:t>
      </w:r>
    </w:p>
    <w:p>
      <w:pPr>
        <w:spacing w:after="80"/>
      </w:pPr>
    </w:p>
    <w:p>
      <w:pPr>
        <w:pStyle w:val="Heading1"/>
      </w:pPr>
      <w:r>
        <w:t xml:space="preserve">6. Operations Plan</w:t>
      </w:r>
    </w:p>
    <w:p>
      <w:pPr>
        <w:pStyle w:val="Heading2"/>
      </w:pPr>
      <w:r>
        <w:t xml:space="preserve">6.1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4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23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Product Owner</w:t>
            </w:r>
          </w:p>
        </w:tc>
        <w:tc>
          <w:tcPr>
            <w:tcW w:type="dxa" w:w="4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Product vision, feature prioritization, stakeholder management</w:t>
            </w:r>
          </w:p>
        </w:tc>
        <w:tc>
          <w:tcPr>
            <w:tcW w:type="dxa" w:w="2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Phase 0+</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Full-Stack Developer (2)</w:t>
            </w:r>
          </w:p>
        </w:tc>
        <w:tc>
          <w:tcPr>
            <w:tcW w:type="dxa" w:w="4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React Native frontend + FastAPI backend development</w:t>
            </w:r>
          </w:p>
        </w:tc>
        <w:tc>
          <w:tcPr>
            <w:tcW w:type="dxa" w:w="2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Phase 0+</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AI/ML Engineer</w:t>
            </w:r>
          </w:p>
        </w:tc>
        <w:tc>
          <w:tcPr>
            <w:tcW w:type="dxa" w:w="4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OCR pipeline, credit scoring model, prediction engine</w:t>
            </w:r>
          </w:p>
        </w:tc>
        <w:tc>
          <w:tcPr>
            <w:tcW w:type="dxa" w:w="2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Phase 0+</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UI/UX Designer</w:t>
            </w:r>
          </w:p>
        </w:tc>
        <w:tc>
          <w:tcPr>
            <w:tcW w:type="dxa" w:w="4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Screen design, user testing, design system maintenance</w:t>
            </w:r>
          </w:p>
        </w:tc>
        <w:tc>
          <w:tcPr>
            <w:tcW w:type="dxa" w:w="2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Phase 0+</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Field Agent Coordinator</w:t>
            </w:r>
          </w:p>
        </w:tc>
        <w:tc>
          <w:tcPr>
            <w:tcW w:type="dxa" w:w="4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Merchant onboarding, market presence, feedback collection</w:t>
            </w:r>
          </w:p>
        </w:tc>
        <w:tc>
          <w:tcPr>
            <w:tcW w:type="dxa" w:w="2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Pre-launch</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MFI Partnership Manager</w:t>
            </w:r>
          </w:p>
        </w:tc>
        <w:tc>
          <w:tcPr>
            <w:tcW w:type="dxa" w:w="4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MFI relationship management, credit report integration</w:t>
            </w:r>
          </w:p>
        </w:tc>
        <w:tc>
          <w:tcPr>
            <w:tcW w:type="dxa" w:w="2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Phase 4+</w:t>
            </w:r>
          </w:p>
        </w:tc>
      </w:tr>
    </w:tbl>
    <w:p>
      <w:pPr>
        <w:spacing w:after="80"/>
      </w:pPr>
    </w:p>
    <w:p>
      <w:pPr>
        <w:pStyle w:val="Heading2"/>
      </w:pPr>
      <w:r>
        <w:t xml:space="preserve">6.2 Infrastructure Costs (Monthly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3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Provider</w:t>
            </w:r>
          </w:p>
        </w:tc>
        <w:tc>
          <w:tcPr>
            <w:tcW w:type="dxa" w:w="33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Estimated Cost</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Database &amp; Storage</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Supabase (Pro Plan)</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25,000 FCFA</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Backend Hosting</w:t>
            </w:r>
          </w:p>
        </w:tc>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Railway / Render</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15,000 FCFA</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SMS OTP Delivery</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Africa's Talking</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Variable (~50 FCFA/SMS)</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AI API (Claude)</w:t>
            </w:r>
          </w:p>
        </w:tc>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Anthropic</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50,000–100,000 FCFA</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Push Notifications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Expo Push (free)</w:t>
            </w:r>
          </w:p>
        </w:tc>
        <w:tc>
          <w:tcPr>
            <w:tcW w:type="dxa" w:w="33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0 FCFA</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Monitoring</w:t>
            </w:r>
          </w:p>
        </w:tc>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Sentry + PostHog</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Free tier initially</w:t>
            </w:r>
          </w:p>
        </w:tc>
      </w:tr>
    </w:tbl>
    <w:p>
      <w:pPr>
        <w:spacing w:after="80"/>
      </w:pPr>
    </w:p>
    <w:p>
      <w:pPr>
        <w:pStyle w:val="Heading1"/>
      </w:pPr>
      <w:r>
        <w:t xml:space="preserve">7.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2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12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47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Low merchant adoption</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Medium</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High</w:t>
            </w:r>
          </w:p>
        </w:tc>
        <w:tc>
          <w:tcPr>
            <w:tcW w:type="dxa" w:w="4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Partner with market associations; deploy field agents; offer immediate value via business intelligence</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Receipt fraud at scale</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Medium</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High</w:t>
            </w:r>
          </w:p>
        </w:tc>
        <w:tc>
          <w:tcPr>
            <w:tcW w:type="dxa" w:w="4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Multi-layer forensics pipeline; continuous model improvement; frequency checks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Intermittent connectivity</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High</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Medium</w:t>
            </w:r>
          </w:p>
        </w:tc>
        <w:tc>
          <w:tcPr>
            <w:tcW w:type="dxa" w:w="4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Offline-first architecture; queue-based sync; all core features work without internet</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MFI partner acquisition</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Medium</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High</w:t>
            </w:r>
          </w:p>
        </w:tc>
        <w:tc>
          <w:tcPr>
            <w:tcW w:type="dxa" w:w="4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Demonstrate value with pilot data; offer free trial period; align with MFI digital transformation goals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Regulatory changes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Low</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Medium</w:t>
            </w:r>
          </w:p>
        </w:tc>
        <w:tc>
          <w:tcPr>
            <w:tcW w:type="dxa" w:w="47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Proactive compliance with Loi n°2010/012; legal counsel for data protection</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Model accuracy issues</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Medium</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Medium</w:t>
            </w:r>
          </w:p>
        </w:tc>
        <w:tc>
          <w:tcPr>
            <w:tcW w:type="dxa" w:w="4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Rules-based fallback; continuous retraining; human review queue for edge cases</w:t>
            </w:r>
          </w:p>
        </w:tc>
      </w:tr>
    </w:tbl>
    <w:p>
      <w:pPr>
        <w:spacing w:after="80"/>
      </w:pPr>
    </w:p>
    <w:p>
      <w:pPr>
        <w:pStyle w:val="Heading1"/>
      </w:pPr>
      <w:r>
        <w:t xml:space="preserve">8. Social Impact</w:t>
      </w:r>
    </w:p>
    <w:p>
      <w:pPr>
        <w:spacing w:after="120"/>
      </w:pPr>
      <w:r>
        <w:rPr>
          <w:rFonts w:ascii="Arial" w:cs="Arial" w:eastAsia="Arial" w:hAnsi="Arial"/>
          <w:sz w:val="22"/>
          <w:szCs w:val="22"/>
        </w:rPr>
        <w:t xml:space="preserve">MboaTrust AI directly addresses financial inclusion, one of the most pressing development challenges in Sub-Saharan Africa. By creating a pathway from informal commerce to formal credit access, the platform has the potential to:</w:t>
      </w:r>
    </w:p>
    <w:p>
      <w:pPr>
        <w:pStyle w:val="ListParagraph"/>
        <w:numPr>
          <w:ilvl w:val="0"/>
          <w:numId w:val="4"/>
        </w:numPr>
        <w:spacing w:after="80"/>
      </w:pPr>
      <w:r>
        <w:rPr>
          <w:rFonts w:ascii="Arial" w:cs="Arial" w:eastAsia="Arial" w:hAnsi="Arial"/>
          <w:sz w:val="22"/>
          <w:szCs w:val="22"/>
        </w:rPr>
        <w:t xml:space="preserve">Enable thousands of merchants to access affordable credit for the first time.</w:t>
      </w:r>
    </w:p>
    <w:p>
      <w:pPr>
        <w:pStyle w:val="ListParagraph"/>
        <w:numPr>
          <w:ilvl w:val="0"/>
          <w:numId w:val="4"/>
        </w:numPr>
        <w:spacing w:after="80"/>
      </w:pPr>
      <w:r>
        <w:rPr>
          <w:rFonts w:ascii="Arial" w:cs="Arial" w:eastAsia="Arial" w:hAnsi="Arial"/>
          <w:sz w:val="22"/>
          <w:szCs w:val="22"/>
        </w:rPr>
        <w:t xml:space="preserve">Reduce MFI default rates through data-driven lending decisions.</w:t>
      </w:r>
    </w:p>
    <w:p>
      <w:pPr>
        <w:pStyle w:val="ListParagraph"/>
        <w:numPr>
          <w:ilvl w:val="0"/>
          <w:numId w:val="4"/>
        </w:numPr>
        <w:spacing w:after="80"/>
      </w:pPr>
      <w:r>
        <w:rPr>
          <w:rFonts w:ascii="Arial" w:cs="Arial" w:eastAsia="Arial" w:hAnsi="Arial"/>
          <w:sz w:val="22"/>
          <w:szCs w:val="22"/>
        </w:rPr>
        <w:t xml:space="preserve">Improve business decision-making through AI-powered intelligence in local languages.</w:t>
      </w:r>
    </w:p>
    <w:p>
      <w:pPr>
        <w:pStyle w:val="ListParagraph"/>
        <w:numPr>
          <w:ilvl w:val="0"/>
          <w:numId w:val="4"/>
        </w:numPr>
        <w:spacing w:after="80"/>
      </w:pPr>
      <w:r>
        <w:rPr>
          <w:rFonts w:ascii="Arial" w:cs="Arial" w:eastAsia="Arial" w:hAnsi="Arial"/>
          <w:sz w:val="22"/>
          <w:szCs w:val="22"/>
        </w:rPr>
        <w:t xml:space="preserve">Create a replicable model for financial inclusion that can expand across Central and West Africa.</w:t>
      </w:r>
    </w:p>
    <w:p>
      <w:pPr>
        <w:spacing w:after="80"/>
      </w:pPr>
    </w:p>
    <w:p>
      <w:pPr>
        <w:pStyle w:val="Heading1"/>
      </w:pPr>
      <w:r>
        <w:t xml:space="preserve">9.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180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Target Date</w:t>
            </w:r>
          </w:p>
        </w:tc>
        <w:tc>
          <w:tcPr>
            <w:tcW w:type="dxa" w:w="4560"/>
            <w:tcBorders>
              <w:top w:val="single" w:color="E0E0E0" w:sz="1"/>
              <w:left w:val="single" w:color="E0E0E0" w:sz="1"/>
              <w:bottom w:val="single" w:color="E0E0E0" w:sz="1"/>
              <w:right w:val="single" w:color="E0E0E0" w:sz="1"/>
            </w:tcBorders>
            <w:shd w:fill="1A5C3A" w:val="clear"/>
            <w:tcMar>
              <w:top w:type="dxa" w:w="60"/>
              <w:left w:type="dxa" w:w="100"/>
              <w:bottom w:type="dxa" w:w="60"/>
              <w:right w:type="dxa" w:w="100"/>
            </w:tcMar>
          </w:tcPr>
          <w:p>
            <w:r>
              <w:rPr>
                <w:rFonts w:ascii="Arial" w:cs="Arial" w:eastAsia="Arial" w:hAnsi="Arial"/>
                <w:b/>
                <w:bCs/>
                <w:color w:val="FFFFFF"/>
                <w:sz w:val="20"/>
                <w:szCs w:val="20"/>
              </w:rPr>
              <w:t xml:space="preserve">Key Outcome</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MVP Complete (M1)</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Month 3</w:t>
            </w:r>
          </w:p>
        </w:tc>
        <w:tc>
          <w:tcPr>
            <w:tcW w:type="dxa" w:w="4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Working app with auth, records, receipt verification</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Full Launch (M2)</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Month 6</w:t>
            </w:r>
          </w:p>
        </w:tc>
        <w:tc>
          <w:tcPr>
            <w:tcW w:type="dxa" w:w="4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Complete product: KYC, Trust Score, Statistics, AI insights</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First MFI Partnership</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Month 7</w:t>
            </w:r>
          </w:p>
        </w:tc>
        <w:tc>
          <w:tcPr>
            <w:tcW w:type="dxa" w:w="4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Signed agreement with at least one MFI partner</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1,000 Registered Merchants</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Month 9</w:t>
            </w:r>
          </w:p>
        </w:tc>
        <w:tc>
          <w:tcPr>
            <w:tcW w:type="dxa" w:w="4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Active user base generating credit data</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Loan Module Launch (M3)</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Month 12</w:t>
            </w:r>
          </w:p>
        </w:tc>
        <w:tc>
          <w:tcPr>
            <w:tcW w:type="dxa" w:w="4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In-app loan application and repayment tracking</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5,000 Merchants</w:t>
            </w:r>
          </w:p>
        </w:tc>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Month 15</w:t>
            </w:r>
          </w:p>
        </w:tc>
        <w:tc>
          <w:tcPr>
            <w:tcW w:type="dxa" w:w="4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F2937"/>
                <w:sz w:val="20"/>
                <w:szCs w:val="20"/>
              </w:rPr>
              <w:t xml:space="preserve">Scale across Douala and Yaoundé</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Regional Expansion Planning</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Month 18</w:t>
            </w:r>
          </w:p>
        </w:tc>
        <w:tc>
          <w:tcPr>
            <w:tcW w:type="dxa" w:w="45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val="false"/>
                <w:bCs w:val="false"/>
                <w:color w:val="1F2937"/>
                <w:sz w:val="20"/>
                <w:szCs w:val="20"/>
              </w:rPr>
              <w:t xml:space="preserve">Evaluate expansion to other Cameroonian cities or CEMAC countries</w:t>
            </w:r>
          </w:p>
        </w:tc>
      </w:tr>
    </w:tbl>
    <w:p>
      <w:pPr>
        <w:spacing w:after="80"/>
      </w:pPr>
    </w:p>
    <w:p>
      <w:pPr>
        <w:pStyle w:val="Heading1"/>
      </w:pPr>
      <w:r>
        <w:t xml:space="preserve">10. Funding Requirements</w:t>
      </w:r>
    </w:p>
    <w:p>
      <w:pPr>
        <w:spacing w:after="120"/>
      </w:pPr>
      <w:r>
        <w:rPr>
          <w:rFonts w:ascii="Arial" w:cs="Arial" w:eastAsia="Arial" w:hAnsi="Arial"/>
          <w:sz w:val="22"/>
          <w:szCs w:val="22"/>
        </w:rPr>
        <w:t xml:space="preserve">MboaTrust AI seeks seed funding to cover the initial development period (6 months to Full Launch) and the first 6 months of market operations. The estimated total funding requirement is approximately 50–75 million FCFA, allocated across development costs, infrastructure, field operations, and MFI partnership development.</w:t>
      </w:r>
    </w:p>
    <w:p>
      <w:pPr>
        <w:spacing w:after="120"/>
      </w:pPr>
      <w:r>
        <w:rPr>
          <w:rFonts w:ascii="Arial" w:cs="Arial" w:eastAsia="Arial" w:hAnsi="Arial"/>
          <w:sz w:val="22"/>
          <w:szCs w:val="22"/>
        </w:rPr>
        <w:t xml:space="preserve">The investment will be used to complete the full product development cycle, deploy the platform on Google Play Store, establish initial MFI partnerships, execute the go-to-market strategy in Douala and Yaoundé, and build the field agent network for merchant onboarding.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C3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C3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2026-04-06T14:32:26.883Z</dcterms:created>
  <dcterms:modified xsi:type="dcterms:W3CDTF">2026-04-06T14:32:26.883Z</dcterms:modified>
</cp:coreProperties>
</file>

<file path=docProps/custom.xml><?xml version="1.0" encoding="utf-8"?>
<Properties xmlns="http://schemas.openxmlformats.org/officeDocument/2006/custom-properties" xmlns:vt="http://schemas.openxmlformats.org/officeDocument/2006/docPropsVTypes"/>
</file>